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4E79"/>
          <w:sz w:val="48"/>
        </w:rPr>
        <w:t>Balam</w:t>
      </w:r>
    </w:p>
    <w:p>
      <w:pPr>
        <w:jc w:val="center"/>
      </w:pPr>
      <w:r>
        <w:rPr>
          <w:b/>
          <w:color w:val="1F4E79"/>
          <w:sz w:val="40"/>
        </w:rPr>
        <w:t>Propuesta técnica y comercial</w:t>
      </w:r>
    </w:p>
    <w:p>
      <w:pPr>
        <w:jc w:val="center"/>
      </w:pPr>
      <w:r>
        <w:rPr>
          <w:color w:val="505050"/>
          <w:sz w:val="24"/>
        </w:rPr>
        <w:t>MVP BIND-first · Automatización financiera y agentes operativos</w:t>
      </w:r>
    </w:p>
    <w:p>
      <w:pPr>
        <w:jc w:val="center"/>
      </w:pPr>
      <w:r>
        <w:rPr>
          <w:b/>
        </w:rPr>
        <w:t>Preparado para: Noe Rocha, Erika Chávez, Araceli Sánchez Jiménez y Pedro Alberto Ayala Elizondo</w:t>
        <w:br/>
      </w:r>
      <w:r>
        <w:t>Preparado por: Johann Velazquez</w:t>
        <w:br/>
        <w:t>Fecha: 27 de mayo de 2026</w:t>
      </w:r>
    </w:p>
    <w:p>
      <w:pPr>
        <w:pStyle w:val="Callout"/>
      </w:pPr>
      <w:r>
        <w:t>Versión editable para revisión. Los montos comerciales deben ser completados por Johann antes de enviar al cliente.</w:t>
      </w:r>
    </w:p>
    <w:p>
      <w:r>
        <w:br w:type="page"/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1F4E79"/>
            <w:vAlign w:val="center"/>
          </w:tcPr>
          <w:p>
            <w:r>
              <w:rPr>
                <w:color w:val="FFFFFF"/>
              </w:rPr>
              <w:t>Campo</w:t>
            </w:r>
          </w:p>
        </w:tc>
        <w:tc>
          <w:tcPr>
            <w:tcW w:type="dxa" w:w="5083"/>
            <w:shd w:fill="1F4E79"/>
            <w:vAlign w:val="center"/>
          </w:tcPr>
          <w:p>
            <w:r>
              <w:rPr>
                <w:color w:val="FFFFFF"/>
              </w:rPr>
              <w:t>Detalle</w:t>
            </w:r>
          </w:p>
        </w:tc>
      </w:tr>
      <w:tr>
        <w:tc>
          <w:tcPr>
            <w:tcW w:type="dxa" w:w="5083"/>
          </w:tcPr>
          <w:p>
            <w:r>
              <w:t>Cliente</w:t>
            </w:r>
          </w:p>
        </w:tc>
        <w:tc>
          <w:tcPr>
            <w:tcW w:type="dxa" w:w="5083"/>
          </w:tcPr>
          <w:p>
            <w:r>
              <w:t>Balam</w:t>
            </w:r>
          </w:p>
        </w:tc>
      </w:tr>
      <w:tr>
        <w:tc>
          <w:tcPr>
            <w:tcW w:type="dxa" w:w="5083"/>
          </w:tcPr>
          <w:p>
            <w:r>
              <w:t>Solicitante</w:t>
            </w:r>
          </w:p>
        </w:tc>
        <w:tc>
          <w:tcPr>
            <w:tcW w:type="dxa" w:w="5083"/>
          </w:tcPr>
          <w:p>
            <w:r>
              <w:t>Equipo directivo y técnico de Balam</w:t>
            </w:r>
          </w:p>
        </w:tc>
      </w:tr>
      <w:tr>
        <w:tc>
          <w:tcPr>
            <w:tcW w:type="dxa" w:w="5083"/>
          </w:tcPr>
          <w:p>
            <w:r>
              <w:t>Proveedor</w:t>
            </w:r>
          </w:p>
        </w:tc>
        <w:tc>
          <w:tcPr>
            <w:tcW w:type="dxa" w:w="5083"/>
          </w:tcPr>
          <w:p>
            <w:r>
              <w:t>Johann Velazquez</w:t>
            </w:r>
          </w:p>
        </w:tc>
      </w:tr>
      <w:tr>
        <w:tc>
          <w:tcPr>
            <w:tcW w:type="dxa" w:w="5083"/>
          </w:tcPr>
          <w:p>
            <w:r>
              <w:t>Versión</w:t>
            </w:r>
          </w:p>
        </w:tc>
        <w:tc>
          <w:tcPr>
            <w:tcW w:type="dxa" w:w="5083"/>
          </w:tcPr>
          <w:p>
            <w:r>
              <w:t>v1.0 editable</w:t>
            </w:r>
          </w:p>
        </w:tc>
      </w:tr>
      <w:tr>
        <w:tc>
          <w:tcPr>
            <w:tcW w:type="dxa" w:w="5083"/>
          </w:tcPr>
          <w:p>
            <w:r>
              <w:t>Fecha</w:t>
            </w:r>
          </w:p>
        </w:tc>
        <w:tc>
          <w:tcPr>
            <w:tcW w:type="dxa" w:w="5083"/>
          </w:tcPr>
          <w:p>
            <w:r>
              <w:t>27 de mayo de 2026</w:t>
            </w:r>
          </w:p>
        </w:tc>
      </w:tr>
      <w:tr>
        <w:tc>
          <w:tcPr>
            <w:tcW w:type="dxa" w:w="5083"/>
          </w:tcPr>
          <w:p>
            <w:r>
              <w:t>Alcance recomendado</w:t>
            </w:r>
          </w:p>
        </w:tc>
        <w:tc>
          <w:tcPr>
            <w:tcW w:type="dxa" w:w="5083"/>
          </w:tcPr>
          <w:p>
            <w:r>
              <w:t>Fase 1: MVP BIND-first para facturación, cobranza, alertas, reportes y trazabilidad.</w:t>
            </w:r>
          </w:p>
        </w:tc>
      </w:tr>
    </w:tbl>
    <w:p>
      <w:pPr>
        <w:pStyle w:val="Heading1"/>
      </w:pPr>
      <w:r>
        <w:t>1. Resumen ejecutivo</w:t>
      </w:r>
    </w:p>
    <w:p>
      <w:r>
        <w:t>Se propone desarrollar una plataforma web centralizada para automatizar y dar visibilidad al flujo de facturación y cobranza de Balam, utilizando BIND ERP como sistema principal en la primera fase. La solución permitirá consultar y dar seguimiento a facturas, estados, vencimientos, cuentas por cobrar, alertas y reportes, reduciendo trabajo manual y preparando la arquitectura para futuras integraciones con BUK, bancos y módulos contables.</w:t>
      </w:r>
    </w:p>
    <w:p>
      <w:r>
        <w:t>La propuesta se enfoca en entregar valor operativo rápidamente sin depender desde el día uno de todas las integraciones externas. El enfoque recomendado es modular: primero BIND/facturación/cobranza; después bancos/conciliación; finalmente contabilidad automática, BUK e IA avanzada.</w:t>
      </w:r>
    </w:p>
    <w:p>
      <w:pPr>
        <w:pStyle w:val="Heading1"/>
      </w:pPr>
      <w:r>
        <w:t>2. Objetivos de la Fase 1</w:t>
      </w:r>
    </w:p>
    <w:p>
      <w:pPr>
        <w:pStyle w:val="ListBullet"/>
      </w:pPr>
      <w:r>
        <w:t>Centralizar la visibilidad de facturación y cuentas por cobrar.</w:t>
      </w:r>
    </w:p>
    <w:p>
      <w:pPr>
        <w:pStyle w:val="ListBullet"/>
      </w:pPr>
      <w:r>
        <w:t>Reducir seguimiento manual de facturas pendientes y vencidas.</w:t>
      </w:r>
    </w:p>
    <w:p>
      <w:pPr>
        <w:pStyle w:val="ListBullet"/>
      </w:pPr>
      <w:r>
        <w:t>Automatizar alertas operativas y reportes financieros básicos.</w:t>
      </w:r>
    </w:p>
    <w:p>
      <w:pPr>
        <w:pStyle w:val="ListBullet"/>
      </w:pPr>
      <w:r>
        <w:t>Registrar trazabilidad de sincronizaciones, alertas y cambios manuales.</w:t>
      </w:r>
    </w:p>
    <w:p>
      <w:pPr>
        <w:pStyle w:val="ListBullet"/>
      </w:pPr>
      <w:r>
        <w:t>Validar técnicamente la API de BIND y preparar la solución para integraciones futuras.</w:t>
      </w:r>
    </w:p>
    <w:p>
      <w:pPr>
        <w:pStyle w:val="ListBullet"/>
      </w:pPr>
      <w:r>
        <w:t>Crear la base de agentes operativos por reglas para monitoreo, alertas y priorización.</w:t>
      </w:r>
    </w:p>
    <w:p>
      <w:pPr>
        <w:pStyle w:val="Heading1"/>
      </w:pPr>
      <w:r>
        <w:t>3. Alcance funcional del MVP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2592"/>
            <w:shd w:fill="1F4E79"/>
            <w:vAlign w:val="center"/>
          </w:tcPr>
          <w:p>
            <w:r>
              <w:rPr>
                <w:color w:val="FFFFFF"/>
              </w:rPr>
              <w:t>Módulo</w:t>
            </w:r>
          </w:p>
        </w:tc>
        <w:tc>
          <w:tcPr>
            <w:tcW w:type="dxa" w:w="7920"/>
            <w:shd w:fill="1F4E79"/>
            <w:vAlign w:val="center"/>
          </w:tcPr>
          <w:p>
            <w:r>
              <w:rPr>
                <w:color w:val="FFFFFF"/>
              </w:rPr>
              <w:t>Funcionalidades incluidas</w:t>
            </w:r>
          </w:p>
        </w:tc>
      </w:tr>
      <w:tr>
        <w:tc>
          <w:tcPr>
            <w:tcW w:type="dxa" w:w="2592"/>
            <w:vAlign w:val="top"/>
          </w:tcPr>
          <w:p>
            <w:r>
              <w:t>Integración BIND ERP</w:t>
            </w:r>
          </w:p>
        </w:tc>
        <w:tc>
          <w:tcPr>
            <w:tcW w:type="dxa" w:w="7920"/>
            <w:vAlign w:val="top"/>
          </w:tcPr>
          <w:p>
            <w:r>
              <w:t>Conexión segura con API; validación de endpoints; sincronización de clientes, cotizaciones/facturas y estados disponibles; bitácora de sincronización.</w:t>
            </w:r>
          </w:p>
        </w:tc>
      </w:tr>
      <w:tr>
        <w:tc>
          <w:tcPr>
            <w:tcW w:type="dxa" w:w="2592"/>
            <w:vAlign w:val="top"/>
          </w:tcPr>
          <w:p>
            <w:r>
              <w:t>Facturación</w:t>
            </w:r>
          </w:p>
        </w:tc>
        <w:tc>
          <w:tcPr>
            <w:tcW w:type="dxa" w:w="7920"/>
            <w:vAlign w:val="top"/>
          </w:tcPr>
          <w:p>
            <w:r>
              <w:t>Vista centralizada de facturas; estados operativos; filtros por cliente, moneda, fecha, vencimiento y estatus; descarga/referencia a documentos disponibles.</w:t>
            </w:r>
          </w:p>
        </w:tc>
      </w:tr>
      <w:tr>
        <w:tc>
          <w:tcPr>
            <w:tcW w:type="dxa" w:w="2592"/>
            <w:vAlign w:val="top"/>
          </w:tcPr>
          <w:p>
            <w:r>
              <w:t>Cobranza</w:t>
            </w:r>
          </w:p>
        </w:tc>
        <w:tc>
          <w:tcPr>
            <w:tcW w:type="dxa" w:w="7920"/>
            <w:vAlign w:val="top"/>
          </w:tcPr>
          <w:p>
            <w:r>
              <w:t>Seguimiento de cuentas por cobrar; aging de cartera; facturas por vencer/vencidas; template de correo; registro de gestión manual.</w:t>
            </w:r>
          </w:p>
        </w:tc>
      </w:tr>
      <w:tr>
        <w:tc>
          <w:tcPr>
            <w:tcW w:type="dxa" w:w="2592"/>
            <w:vAlign w:val="top"/>
          </w:tcPr>
          <w:p>
            <w:r>
              <w:t>Alertas</w:t>
            </w:r>
          </w:p>
        </w:tc>
        <w:tc>
          <w:tcPr>
            <w:tcW w:type="dxa" w:w="7920"/>
            <w:vAlign w:val="top"/>
          </w:tcPr>
          <w:p>
            <w:r>
              <w:t>Alertas configurables 5 días antes de vencimiento; alertas de facturas vencidas; alertas internas de inconsistencias o datos faltantes.</w:t>
            </w:r>
          </w:p>
        </w:tc>
      </w:tr>
      <w:tr>
        <w:tc>
          <w:tcPr>
            <w:tcW w:type="dxa" w:w="2592"/>
            <w:vAlign w:val="top"/>
          </w:tcPr>
          <w:p>
            <w:r>
              <w:t>Reglas de excepción</w:t>
            </w:r>
          </w:p>
        </w:tc>
        <w:tc>
          <w:tcPr>
            <w:tcW w:type="dxa" w:w="7920"/>
            <w:vAlign w:val="top"/>
          </w:tcPr>
          <w:p>
            <w:r>
              <w:t>Lista configurable para ACUNTIA y top 3 clientes; sin recordatorios masivos automáticos para cuentas estratégicas.</w:t>
            </w:r>
          </w:p>
        </w:tc>
      </w:tr>
      <w:tr>
        <w:tc>
          <w:tcPr>
            <w:tcW w:type="dxa" w:w="2592"/>
            <w:vAlign w:val="top"/>
          </w:tcPr>
          <w:p>
            <w:r>
              <w:t>Dashboard directivo</w:t>
            </w:r>
          </w:p>
        </w:tc>
        <w:tc>
          <w:tcPr>
            <w:tcW w:type="dxa" w:w="7920"/>
            <w:vAlign w:val="top"/>
          </w:tcPr>
          <w:p>
            <w:r>
              <w:t>KPIs de facturación, cuentas por cobrar, vencimientos, monto pendiente por cliente, estado de alertas y seguimiento operativo.</w:t>
            </w:r>
          </w:p>
        </w:tc>
      </w:tr>
      <w:tr>
        <w:tc>
          <w:tcPr>
            <w:tcW w:type="dxa" w:w="2592"/>
            <w:vAlign w:val="top"/>
          </w:tcPr>
          <w:p>
            <w:r>
              <w:t>Reportes</w:t>
            </w:r>
          </w:p>
        </w:tc>
        <w:tc>
          <w:tcPr>
            <w:tcW w:type="dxa" w:w="7920"/>
            <w:vAlign w:val="top"/>
          </w:tcPr>
          <w:p>
            <w:r>
              <w:t>Exportables en CSV/XLSX y reporte operativo; reporte diario/semanal configurable según validación con Balam.</w:t>
            </w:r>
          </w:p>
        </w:tc>
      </w:tr>
      <w:tr>
        <w:tc>
          <w:tcPr>
            <w:tcW w:type="dxa" w:w="2592"/>
            <w:vAlign w:val="top"/>
          </w:tcPr>
          <w:p>
            <w:r>
              <w:t>Trazabilidad</w:t>
            </w:r>
          </w:p>
        </w:tc>
        <w:tc>
          <w:tcPr>
            <w:tcW w:type="dxa" w:w="7920"/>
            <w:vAlign w:val="top"/>
          </w:tcPr>
          <w:p>
            <w:r>
              <w:t>Registro de eventos, cambios, sincronizaciones, alertas generadas, alertas omitidas por excepción y acciones manuales.</w:t>
            </w:r>
          </w:p>
        </w:tc>
      </w:tr>
      <w:tr>
        <w:tc>
          <w:tcPr>
            <w:tcW w:type="dxa" w:w="2592"/>
            <w:vAlign w:val="top"/>
          </w:tcPr>
          <w:p>
            <w:r>
              <w:t>Agentes operativos</w:t>
            </w:r>
          </w:p>
        </w:tc>
        <w:tc>
          <w:tcPr>
            <w:tcW w:type="dxa" w:w="7920"/>
            <w:vAlign w:val="top"/>
          </w:tcPr>
          <w:p>
            <w:r>
              <w:t>Agente de monitoreo de facturas, agente de alertas de vencimiento y agente de reporte operativo basado en reglas.</w:t>
            </w:r>
          </w:p>
        </w:tc>
      </w:tr>
    </w:tbl>
    <w:p/>
    <w:p>
      <w:pPr>
        <w:pStyle w:val="Heading1"/>
      </w:pPr>
      <w:r>
        <w:t>4. Alcance técnico de la Fase 1</w:t>
      </w:r>
    </w:p>
    <w:p>
      <w:pPr>
        <w:pStyle w:val="ListBullet"/>
      </w:pPr>
      <w:r>
        <w:t>Frontend web responsive para usuarios de finanzas, dirección y operación.</w:t>
      </w:r>
    </w:p>
    <w:p>
      <w:pPr>
        <w:pStyle w:val="ListBullet"/>
      </w:pPr>
      <w:r>
        <w:t>Backend API para lógica de negocio, integraciones y control de permisos.</w:t>
      </w:r>
    </w:p>
    <w:p>
      <w:pPr>
        <w:pStyle w:val="ListBullet"/>
      </w:pPr>
      <w:r>
        <w:t>Base de datos propia para cache, histórico, auditoría y normalización de datos.</w:t>
      </w:r>
    </w:p>
    <w:p>
      <w:pPr>
        <w:pStyle w:val="ListBullet"/>
      </w:pPr>
      <w:r>
        <w:t>Módulo de integración con BIND mediante API, sujeto a validación de endpoints reales.</w:t>
      </w:r>
    </w:p>
    <w:p>
      <w:pPr>
        <w:pStyle w:val="ListBullet"/>
      </w:pPr>
      <w:r>
        <w:t>Manejo seguro de credenciales/API keys fuera del frontend.</w:t>
      </w:r>
    </w:p>
    <w:p>
      <w:pPr>
        <w:pStyle w:val="ListBullet"/>
      </w:pPr>
      <w:r>
        <w:t>Roles de usuario iniciales: administración/finanzas, dirección, operación y administrador técnico.</w:t>
      </w:r>
    </w:p>
    <w:p>
      <w:pPr>
        <w:pStyle w:val="ListBullet"/>
      </w:pPr>
      <w:r>
        <w:t>Despliegue en Azure como opción preferente, o alternativa equivalente si conviene por costo-beneficio.</w:t>
      </w:r>
    </w:p>
    <w:p>
      <w:pPr>
        <w:pStyle w:val="Heading1"/>
      </w:pPr>
      <w:r>
        <w:t>5. Fases sugeridas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2304"/>
            <w:shd w:fill="1F4E79"/>
            <w:vAlign w:val="center"/>
          </w:tcPr>
          <w:p>
            <w:r>
              <w:rPr>
                <w:color w:val="FFFFFF"/>
              </w:rPr>
              <w:t>Fase</w:t>
            </w:r>
          </w:p>
        </w:tc>
        <w:tc>
          <w:tcPr>
            <w:tcW w:type="dxa" w:w="2304"/>
            <w:shd w:fill="1F4E79"/>
            <w:vAlign w:val="center"/>
          </w:tcPr>
          <w:p>
            <w:r>
              <w:rPr>
                <w:color w:val="FFFFFF"/>
              </w:rPr>
              <w:t>Duración estimada</w:t>
            </w:r>
          </w:p>
        </w:tc>
        <w:tc>
          <w:tcPr>
            <w:tcW w:type="dxa" w:w="5904"/>
            <w:shd w:fill="1F4E79"/>
            <w:vAlign w:val="center"/>
          </w:tcPr>
          <w:p>
            <w:r>
              <w:rPr>
                <w:color w:val="FFFFFF"/>
              </w:rPr>
              <w:t>Resultado</w:t>
            </w:r>
          </w:p>
        </w:tc>
      </w:tr>
      <w:tr>
        <w:tc>
          <w:tcPr>
            <w:tcW w:type="dxa" w:w="2304"/>
            <w:vAlign w:val="top"/>
          </w:tcPr>
          <w:p>
            <w:r>
              <w:t>0. Discovery técnico</w:t>
            </w:r>
          </w:p>
        </w:tc>
        <w:tc>
          <w:tcPr>
            <w:tcW w:type="dxa" w:w="2304"/>
            <w:vAlign w:val="top"/>
          </w:tcPr>
          <w:p>
            <w:r>
              <w:t>3 a 5 días hábiles</w:t>
            </w:r>
          </w:p>
        </w:tc>
        <w:tc>
          <w:tcPr>
            <w:tcW w:type="dxa" w:w="5904"/>
            <w:vAlign w:val="top"/>
          </w:tcPr>
          <w:p>
            <w:r>
              <w:t>Validación de API BIND, flujo real de facturación, datos requeridos, accesos, reglas de cobranza y criterios de éxito.</w:t>
            </w:r>
          </w:p>
        </w:tc>
      </w:tr>
      <w:tr>
        <w:tc>
          <w:tcPr>
            <w:tcW w:type="dxa" w:w="2304"/>
            <w:vAlign w:val="top"/>
          </w:tcPr>
          <w:p>
            <w:r>
              <w:t>1. Base del producto</w:t>
            </w:r>
          </w:p>
        </w:tc>
        <w:tc>
          <w:tcPr>
            <w:tcW w:type="dxa" w:w="2304"/>
            <w:vAlign w:val="top"/>
          </w:tcPr>
          <w:p>
            <w:r>
              <w:t>Semana 1-2</w:t>
            </w:r>
          </w:p>
        </w:tc>
        <w:tc>
          <w:tcPr>
            <w:tcW w:type="dxa" w:w="5904"/>
            <w:vAlign w:val="top"/>
          </w:tcPr>
          <w:p>
            <w:r>
              <w:t>Estructura backend/frontend, autenticación, modelo de datos, sincronización inicial, bitácora y configuración.</w:t>
            </w:r>
          </w:p>
        </w:tc>
      </w:tr>
      <w:tr>
        <w:tc>
          <w:tcPr>
            <w:tcW w:type="dxa" w:w="2304"/>
            <w:vAlign w:val="top"/>
          </w:tcPr>
          <w:p>
            <w:r>
              <w:t>2. Facturación y cobranza</w:t>
            </w:r>
          </w:p>
        </w:tc>
        <w:tc>
          <w:tcPr>
            <w:tcW w:type="dxa" w:w="2304"/>
            <w:vAlign w:val="top"/>
          </w:tcPr>
          <w:p>
            <w:r>
              <w:t>Semana 2-4</w:t>
            </w:r>
          </w:p>
        </w:tc>
        <w:tc>
          <w:tcPr>
            <w:tcW w:type="dxa" w:w="5904"/>
            <w:vAlign w:val="top"/>
          </w:tcPr>
          <w:p>
            <w:r>
              <w:t>Vistas de facturas, estados, cuentas por cobrar, aging, filtros, dashboard y reportes.</w:t>
            </w:r>
          </w:p>
        </w:tc>
      </w:tr>
      <w:tr>
        <w:tc>
          <w:tcPr>
            <w:tcW w:type="dxa" w:w="2304"/>
            <w:vAlign w:val="top"/>
          </w:tcPr>
          <w:p>
            <w:r>
              <w:t>3. Alertas y agentes operativos</w:t>
            </w:r>
          </w:p>
        </w:tc>
        <w:tc>
          <w:tcPr>
            <w:tcW w:type="dxa" w:w="2304"/>
            <w:vAlign w:val="top"/>
          </w:tcPr>
          <w:p>
            <w:r>
              <w:t>Semana 4-5</w:t>
            </w:r>
          </w:p>
        </w:tc>
        <w:tc>
          <w:tcPr>
            <w:tcW w:type="dxa" w:w="5904"/>
            <w:vAlign w:val="top"/>
          </w:tcPr>
          <w:p>
            <w:r>
              <w:t>Alertas de vencimiento, excepciones por cliente, templates, agente de monitoreo y reporte.</w:t>
            </w:r>
          </w:p>
        </w:tc>
      </w:tr>
      <w:tr>
        <w:tc>
          <w:tcPr>
            <w:tcW w:type="dxa" w:w="2304"/>
            <w:vAlign w:val="top"/>
          </w:tcPr>
          <w:p>
            <w:r>
              <w:t>4. Validación y entrega</w:t>
            </w:r>
          </w:p>
        </w:tc>
        <w:tc>
          <w:tcPr>
            <w:tcW w:type="dxa" w:w="2304"/>
            <w:vAlign w:val="top"/>
          </w:tcPr>
          <w:p>
            <w:r>
              <w:t>Semana 5-6</w:t>
            </w:r>
          </w:p>
        </w:tc>
        <w:tc>
          <w:tcPr>
            <w:tcW w:type="dxa" w:w="5904"/>
            <w:vAlign w:val="top"/>
          </w:tcPr>
          <w:p>
            <w:r>
              <w:t>Pruebas con usuarios, ajustes, documentación, capacitación básica y entrega del MVP.</w:t>
            </w:r>
          </w:p>
        </w:tc>
      </w:tr>
    </w:tbl>
    <w:p/>
    <w:p>
      <w:pPr>
        <w:pStyle w:val="Heading1"/>
      </w:pPr>
      <w:r>
        <w:t>6. Roadmap posterior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3168"/>
            <w:shd w:fill="1F4E79"/>
            <w:vAlign w:val="center"/>
          </w:tcPr>
          <w:p>
            <w:r>
              <w:rPr>
                <w:color w:val="FFFFFF"/>
              </w:rPr>
              <w:t>Fase futura</w:t>
            </w:r>
          </w:p>
        </w:tc>
        <w:tc>
          <w:tcPr>
            <w:tcW w:type="dxa" w:w="7344"/>
            <w:shd w:fill="1F4E79"/>
            <w:vAlign w:val="center"/>
          </w:tcPr>
          <w:p>
            <w:r>
              <w:rPr>
                <w:color w:val="FFFFFF"/>
              </w:rPr>
              <w:t>Descripción</w:t>
            </w:r>
          </w:p>
        </w:tc>
      </w:tr>
      <w:tr>
        <w:tc>
          <w:tcPr>
            <w:tcW w:type="dxa" w:w="3168"/>
            <w:vAlign w:val="top"/>
          </w:tcPr>
          <w:p>
            <w:r>
              <w:t>Fase 2: Bancos y conciliación asistida</w:t>
            </w:r>
          </w:p>
        </w:tc>
        <w:tc>
          <w:tcPr>
            <w:tcW w:type="dxa" w:w="7344"/>
            <w:vAlign w:val="top"/>
          </w:tcPr>
          <w:p>
            <w:r>
              <w:t>Carga o integración de estados bancarios, normalización de movimientos, matching pago-factura, pagos parciales y bandeja de revisión.</w:t>
            </w:r>
          </w:p>
        </w:tc>
      </w:tr>
      <w:tr>
        <w:tc>
          <w:tcPr>
            <w:tcW w:type="dxa" w:w="3168"/>
            <w:vAlign w:val="top"/>
          </w:tcPr>
          <w:p>
            <w:r>
              <w:t>Fase 3: Contabilidad y asientos</w:t>
            </w:r>
          </w:p>
        </w:tc>
        <w:tc>
          <w:tcPr>
            <w:tcW w:type="dxa" w:w="7344"/>
            <w:vAlign w:val="top"/>
          </w:tcPr>
          <w:p>
            <w:r>
              <w:t>Reglas contables, generación de asientos, validación con contador, integración contable conforme a capacidades de BIND.</w:t>
            </w:r>
          </w:p>
        </w:tc>
      </w:tr>
      <w:tr>
        <w:tc>
          <w:tcPr>
            <w:tcW w:type="dxa" w:w="3168"/>
            <w:vAlign w:val="top"/>
          </w:tcPr>
          <w:p>
            <w:r>
              <w:t>Fase 4: BUK, Book, Jira e IA</w:t>
            </w:r>
          </w:p>
        </w:tc>
        <w:tc>
          <w:tcPr>
            <w:tcW w:type="dxa" w:w="7344"/>
            <w:vAlign w:val="top"/>
          </w:tcPr>
          <w:p>
            <w:r>
              <w:t>Integraciones adicionales, automatización de nómina/operación, agentes de anomalías, clasificación y priorización.</w:t>
            </w:r>
          </w:p>
        </w:tc>
      </w:tr>
      <w:tr>
        <w:tc>
          <w:tcPr>
            <w:tcW w:type="dxa" w:w="3168"/>
            <w:vAlign w:val="top"/>
          </w:tcPr>
          <w:p>
            <w:r>
              <w:t>Fase 5: Productización</w:t>
            </w:r>
          </w:p>
        </w:tc>
        <w:tc>
          <w:tcPr>
            <w:tcW w:type="dxa" w:w="7344"/>
            <w:vAlign w:val="top"/>
          </w:tcPr>
          <w:p>
            <w:r>
              <w:t>Multiempresa, administración de tenants, métricas, configuración avanzada y paquete comercializable.</w:t>
            </w:r>
          </w:p>
        </w:tc>
      </w:tr>
    </w:tbl>
    <w:p/>
    <w:p>
      <w:pPr>
        <w:pStyle w:val="Heading1"/>
      </w:pPr>
      <w:r>
        <w:t>7. Entregables</w:t>
      </w:r>
    </w:p>
    <w:p>
      <w:pPr>
        <w:pStyle w:val="ListBullet"/>
      </w:pPr>
      <w:r>
        <w:t>MVP funcional en ambiente acordado.</w:t>
      </w:r>
    </w:p>
    <w:p>
      <w:pPr>
        <w:pStyle w:val="ListBullet"/>
      </w:pPr>
      <w:r>
        <w:t>Código fuente y repositorio según acuerdo comercial.</w:t>
      </w:r>
    </w:p>
    <w:p>
      <w:pPr>
        <w:pStyle w:val="ListBullet"/>
      </w:pPr>
      <w:r>
        <w:t>Documentación técnica básica de arquitectura, integración y despliegue.</w:t>
      </w:r>
    </w:p>
    <w:p>
      <w:pPr>
        <w:pStyle w:val="ListBullet"/>
      </w:pPr>
      <w:r>
        <w:t>Manual de usuario básico para Finanzas/Dirección/Operación.</w:t>
      </w:r>
    </w:p>
    <w:p>
      <w:pPr>
        <w:pStyle w:val="ListBullet"/>
      </w:pPr>
      <w:r>
        <w:t>Checklist de pruebas y criterios de aceptación.</w:t>
      </w:r>
    </w:p>
    <w:p>
      <w:pPr>
        <w:pStyle w:val="ListBullet"/>
      </w:pPr>
      <w:r>
        <w:t>Capacitación inicial y sesión de handoff.</w:t>
      </w:r>
    </w:p>
    <w:p>
      <w:pPr>
        <w:pStyle w:val="Heading1"/>
      </w:pPr>
      <w:r>
        <w:t>8. Supuestos y dependencias</w:t>
      </w:r>
    </w:p>
    <w:p>
      <w:pPr>
        <w:pStyle w:val="ListBullet"/>
      </w:pPr>
      <w:r>
        <w:t>Balam proporcionará acceso técnico a BIND o API key con permisos necesarios.</w:t>
      </w:r>
    </w:p>
    <w:p>
      <w:pPr>
        <w:pStyle w:val="ListBullet"/>
      </w:pPr>
      <w:r>
        <w:t>Si no existe sandbox, se trabajará con estrategia de bajo riesgo: lectura primero, registros controlados, logs y aprobaciones antes de cualquier escritura.</w:t>
      </w:r>
    </w:p>
    <w:p>
      <w:pPr>
        <w:pStyle w:val="ListBullet"/>
      </w:pPr>
      <w:r>
        <w:t>Las reglas fiscales y contables serán validadas por Balam y/o su contador; la plataforma no sustituye asesoría fiscal.</w:t>
      </w:r>
    </w:p>
    <w:p>
      <w:pPr>
        <w:pStyle w:val="ListBullet"/>
      </w:pPr>
      <w:r>
        <w:t>El MVP considera MXN y USD operativos; EUR queda preparado para fase posterior salvo confirmación distinta.</w:t>
      </w:r>
    </w:p>
    <w:p>
      <w:pPr>
        <w:pStyle w:val="ListBullet"/>
      </w:pPr>
      <w:r>
        <w:t>BUK queda documentado como integración futura, aunque ya se confirmó disponibilidad de API.</w:t>
      </w:r>
    </w:p>
    <w:p>
      <w:pPr>
        <w:pStyle w:val="ListBullet"/>
      </w:pPr>
      <w:r>
        <w:t>La integración bancaria completa queda fuera de Fase 1 salvo acuerdo y cotización adicional.</w:t>
      </w:r>
    </w:p>
    <w:p>
      <w:pPr>
        <w:pStyle w:val="Heading1"/>
      </w:pPr>
      <w:r>
        <w:t>9. Fuera del alcance de Fase 1</w:t>
      </w:r>
    </w:p>
    <w:p>
      <w:pPr>
        <w:pStyle w:val="ListBullet"/>
      </w:pPr>
      <w:r>
        <w:t>Integración directa con los tres bancos y conciliación bancaria automática completa.</w:t>
      </w:r>
    </w:p>
    <w:p>
      <w:pPr>
        <w:pStyle w:val="ListBullet"/>
      </w:pPr>
      <w:r>
        <w:t>OCR o extracción automática de PDFs bancarios.</w:t>
      </w:r>
    </w:p>
    <w:p>
      <w:pPr>
        <w:pStyle w:val="ListBullet"/>
      </w:pPr>
      <w:r>
        <w:t>Generación automática completa de asientos contables sin validación de reglas contables.</w:t>
      </w:r>
    </w:p>
    <w:p>
      <w:pPr>
        <w:pStyle w:val="ListBullet"/>
      </w:pPr>
      <w:r>
        <w:t>Integración activa con BUK, Book o Jira.</w:t>
      </w:r>
    </w:p>
    <w:p>
      <w:pPr>
        <w:pStyle w:val="ListBullet"/>
      </w:pPr>
      <w:r>
        <w:t>Motor de IA para detección de anomalías en producción.</w:t>
      </w:r>
    </w:p>
    <w:p>
      <w:pPr>
        <w:pStyle w:val="ListBullet"/>
      </w:pPr>
      <w:r>
        <w:t>Cumplimiento fiscal avanzado México/Texas más allá de reglas proporcionadas por Balam.</w:t>
      </w:r>
    </w:p>
    <w:p>
      <w:pPr>
        <w:pStyle w:val="ListBullet"/>
      </w:pPr>
      <w:r>
        <w:t>Producto multiempresa listo para comercializar.</w:t>
      </w:r>
    </w:p>
    <w:p>
      <w:pPr>
        <w:pStyle w:val="Heading1"/>
      </w:pPr>
      <w:r>
        <w:t>10. Criterios de aceptación</w:t>
      </w:r>
    </w:p>
    <w:p>
      <w:pPr>
        <w:pStyle w:val="ListBullet"/>
      </w:pPr>
      <w:r>
        <w:t>La plataforma se conecta a BIND o, en su defecto, deja documentado el flujo alterno aprobado durante discovery.</w:t>
      </w:r>
    </w:p>
    <w:p>
      <w:pPr>
        <w:pStyle w:val="ListBullet"/>
      </w:pPr>
      <w:r>
        <w:t>Los usuarios autorizados pueden consultar facturas, estados y cuentas por cobrar en dashboard.</w:t>
      </w:r>
    </w:p>
    <w:p>
      <w:pPr>
        <w:pStyle w:val="ListBullet"/>
      </w:pPr>
      <w:r>
        <w:t>El sistema identifica facturas por vencer y vencidas conforme a fecha de vencimiento configurada.</w:t>
      </w:r>
    </w:p>
    <w:p>
      <w:pPr>
        <w:pStyle w:val="ListBullet"/>
      </w:pPr>
      <w:r>
        <w:t>Las alertas respetan la regla de exclusión para ACUNTIA y top 3 clientes.</w:t>
      </w:r>
    </w:p>
    <w:p>
      <w:pPr>
        <w:pStyle w:val="ListBullet"/>
      </w:pPr>
      <w:r>
        <w:t>Los reportes pueden exportarse y contienen los campos acordados en discovery.</w:t>
      </w:r>
    </w:p>
    <w:p>
      <w:pPr>
        <w:pStyle w:val="ListBullet"/>
      </w:pPr>
      <w:r>
        <w:t>Toda sincronización, alerta y acción manual relevante queda registrada en bitácora.</w:t>
      </w:r>
    </w:p>
    <w:p>
      <w:pPr>
        <w:pStyle w:val="ListBullet"/>
      </w:pPr>
      <w:r>
        <w:t>Balam recibe documentación y capacitación básica para operar el MVP.</w:t>
      </w:r>
    </w:p>
    <w:p>
      <w:pPr>
        <w:pStyle w:val="Heading1"/>
      </w:pPr>
      <w:r>
        <w:t>11. Equipo y comunicación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2160"/>
            <w:shd w:fill="1F4E79"/>
            <w:vAlign w:val="center"/>
          </w:tcPr>
          <w:p>
            <w:r>
              <w:rPr>
                <w:color w:val="FFFFFF"/>
              </w:rPr>
              <w:t>Rol</w:t>
            </w:r>
          </w:p>
        </w:tc>
        <w:tc>
          <w:tcPr>
            <w:tcW w:type="dxa" w:w="3312"/>
            <w:shd w:fill="1F4E79"/>
            <w:vAlign w:val="center"/>
          </w:tcPr>
          <w:p>
            <w:r>
              <w:rPr>
                <w:color w:val="FFFFFF"/>
              </w:rPr>
              <w:t>Responsable</w:t>
            </w:r>
          </w:p>
        </w:tc>
        <w:tc>
          <w:tcPr>
            <w:tcW w:type="dxa" w:w="5040"/>
            <w:shd w:fill="1F4E79"/>
            <w:vAlign w:val="center"/>
          </w:tcPr>
          <w:p>
            <w:r>
              <w:rPr>
                <w:color w:val="FFFFFF"/>
              </w:rPr>
              <w:t>Participación</w:t>
            </w:r>
          </w:p>
        </w:tc>
      </w:tr>
      <w:tr>
        <w:tc>
          <w:tcPr>
            <w:tcW w:type="dxa" w:w="2160"/>
            <w:vAlign w:val="top"/>
          </w:tcPr>
          <w:p>
            <w:r>
              <w:t>CTO</w:t>
            </w:r>
          </w:p>
        </w:tc>
        <w:tc>
          <w:tcPr>
            <w:tcW w:type="dxa" w:w="3312"/>
            <w:vAlign w:val="top"/>
          </w:tcPr>
          <w:p>
            <w:r>
              <w:t>Noe Rocha</w:t>
            </w:r>
          </w:p>
        </w:tc>
        <w:tc>
          <w:tcPr>
            <w:tcW w:type="dxa" w:w="5040"/>
            <w:vAlign w:val="top"/>
          </w:tcPr>
          <w:p>
            <w:r>
              <w:t>Define criterio técnico, viabilidad de integraciones, arquitectura y prioridades.</w:t>
            </w:r>
          </w:p>
        </w:tc>
      </w:tr>
      <w:tr>
        <w:tc>
          <w:tcPr>
            <w:tcW w:type="dxa" w:w="2160"/>
            <w:vAlign w:val="top"/>
          </w:tcPr>
          <w:p>
            <w:r>
              <w:t>Project Manager</w:t>
            </w:r>
          </w:p>
        </w:tc>
        <w:tc>
          <w:tcPr>
            <w:tcW w:type="dxa" w:w="3312"/>
            <w:vAlign w:val="top"/>
          </w:tcPr>
          <w:p>
            <w:r>
              <w:t>Erika Chávez</w:t>
            </w:r>
          </w:p>
        </w:tc>
        <w:tc>
          <w:tcPr>
            <w:tcW w:type="dxa" w:w="5040"/>
            <w:vAlign w:val="top"/>
          </w:tcPr>
          <w:p>
            <w:r>
              <w:t>Coordina seguimiento, acuerdos, calendario y entregables.</w:t>
            </w:r>
          </w:p>
        </w:tc>
      </w:tr>
      <w:tr>
        <w:tc>
          <w:tcPr>
            <w:tcW w:type="dxa" w:w="2160"/>
            <w:vAlign w:val="top"/>
          </w:tcPr>
          <w:p>
            <w:r>
              <w:t>CEO / Operaciones</w:t>
            </w:r>
          </w:p>
        </w:tc>
        <w:tc>
          <w:tcPr>
            <w:tcW w:type="dxa" w:w="3312"/>
            <w:vAlign w:val="top"/>
          </w:tcPr>
          <w:p>
            <w:r>
              <w:t>Araceli Sánchez Jiménez (Ara)</w:t>
            </w:r>
          </w:p>
        </w:tc>
        <w:tc>
          <w:tcPr>
            <w:tcW w:type="dxa" w:w="5040"/>
            <w:vAlign w:val="top"/>
          </w:tcPr>
          <w:p>
            <w:r>
              <w:t>Valida reglas de negocio, operación, excepciones comerciales y visibilidad directiva.</w:t>
            </w:r>
          </w:p>
        </w:tc>
      </w:tr>
      <w:tr>
        <w:tc>
          <w:tcPr>
            <w:tcW w:type="dxa" w:w="2160"/>
            <w:vAlign w:val="top"/>
          </w:tcPr>
          <w:p>
            <w:r>
              <w:t>Desarrollador / contacto técnico Balam</w:t>
            </w:r>
          </w:p>
        </w:tc>
        <w:tc>
          <w:tcPr>
            <w:tcW w:type="dxa" w:w="3312"/>
            <w:vAlign w:val="top"/>
          </w:tcPr>
          <w:p>
            <w:r>
              <w:t>Pedro Alberto Ayala Elizondo</w:t>
            </w:r>
          </w:p>
        </w:tc>
        <w:tc>
          <w:tcPr>
            <w:tcW w:type="dxa" w:w="5040"/>
            <w:vAlign w:val="top"/>
          </w:tcPr>
          <w:p>
            <w:r>
              <w:t>Facilita accesos, documentación, sesiones técnicas y pruebas con sistemas actuales.</w:t>
            </w:r>
          </w:p>
        </w:tc>
      </w:tr>
      <w:tr>
        <w:tc>
          <w:tcPr>
            <w:tcW w:type="dxa" w:w="2160"/>
            <w:vAlign w:val="top"/>
          </w:tcPr>
          <w:p>
            <w:r>
              <w:t>Proveedor / desarrollo</w:t>
            </w:r>
          </w:p>
        </w:tc>
        <w:tc>
          <w:tcPr>
            <w:tcW w:type="dxa" w:w="3312"/>
            <w:vAlign w:val="top"/>
          </w:tcPr>
          <w:p>
            <w:r>
              <w:t>Johann Velazquez</w:t>
            </w:r>
          </w:p>
        </w:tc>
        <w:tc>
          <w:tcPr>
            <w:tcW w:type="dxa" w:w="5040"/>
            <w:vAlign w:val="top"/>
          </w:tcPr>
          <w:p>
            <w:r>
              <w:t>Diseña, desarrolla, integra, documenta y entrega la solución propuesta.</w:t>
            </w:r>
          </w:p>
        </w:tc>
      </w:tr>
    </w:tbl>
    <w:p/>
    <w:p>
      <w:pPr>
        <w:pStyle w:val="Heading1"/>
      </w:pPr>
      <w:r>
        <w:t>12. Inversión y condiciones comerciales</w:t>
      </w:r>
    </w:p>
    <w:p>
      <w:r>
        <w:t>Completar antes de enviar al cliente: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4752"/>
            <w:shd w:fill="1F4E79"/>
            <w:vAlign w:val="center"/>
          </w:tcPr>
          <w:p>
            <w:r>
              <w:rPr>
                <w:color w:val="FFFFFF"/>
              </w:rPr>
              <w:t>Concepto</w:t>
            </w:r>
          </w:p>
        </w:tc>
        <w:tc>
          <w:tcPr>
            <w:tcW w:type="dxa" w:w="5760"/>
            <w:shd w:fill="1F4E79"/>
            <w:vAlign w:val="center"/>
          </w:tcPr>
          <w:p>
            <w:r>
              <w:rPr>
                <w:color w:val="FFFFFF"/>
              </w:rPr>
              <w:t>Monto</w:t>
            </w:r>
          </w:p>
        </w:tc>
      </w:tr>
      <w:tr>
        <w:tc>
          <w:tcPr>
            <w:tcW w:type="dxa" w:w="4752"/>
            <w:vAlign w:val="top"/>
          </w:tcPr>
          <w:p>
            <w:r>
              <w:t>Discovery técnico incluido</w:t>
            </w:r>
          </w:p>
        </w:tc>
        <w:tc>
          <w:tcPr>
            <w:tcW w:type="dxa" w:w="5760"/>
            <w:vAlign w:val="top"/>
          </w:tcPr>
          <w:p>
            <w:r>
              <w:t>$ __________ MXN + IVA</w:t>
            </w:r>
          </w:p>
        </w:tc>
      </w:tr>
      <w:tr>
        <w:tc>
          <w:tcPr>
            <w:tcW w:type="dxa" w:w="4752"/>
            <w:vAlign w:val="top"/>
          </w:tcPr>
          <w:p>
            <w:r>
              <w:t>Desarrollo MVP BIND-first</w:t>
            </w:r>
          </w:p>
        </w:tc>
        <w:tc>
          <w:tcPr>
            <w:tcW w:type="dxa" w:w="5760"/>
            <w:vAlign w:val="top"/>
          </w:tcPr>
          <w:p>
            <w:r>
              <w:t>$ __________ MXN + IVA</w:t>
            </w:r>
          </w:p>
        </w:tc>
      </w:tr>
      <w:tr>
        <w:tc>
          <w:tcPr>
            <w:tcW w:type="dxa" w:w="4752"/>
            <w:vAlign w:val="top"/>
          </w:tcPr>
          <w:p>
            <w:r>
              <w:t>Soporte post-entrega opcional</w:t>
            </w:r>
          </w:p>
        </w:tc>
        <w:tc>
          <w:tcPr>
            <w:tcW w:type="dxa" w:w="5760"/>
            <w:vAlign w:val="top"/>
          </w:tcPr>
          <w:p>
            <w:r>
              <w:t>$ __________ MXN/mes + IVA</w:t>
            </w:r>
          </w:p>
        </w:tc>
      </w:tr>
      <w:tr>
        <w:tc>
          <w:tcPr>
            <w:tcW w:type="dxa" w:w="4752"/>
            <w:vAlign w:val="top"/>
          </w:tcPr>
          <w:p>
            <w:r>
              <w:t>Fases posteriores</w:t>
            </w:r>
          </w:p>
        </w:tc>
        <w:tc>
          <w:tcPr>
            <w:tcW w:type="dxa" w:w="5760"/>
            <w:vAlign w:val="top"/>
          </w:tcPr>
          <w:p>
            <w:r>
              <w:t>Se cotizan por separado según alcance validado.</w:t>
            </w:r>
          </w:p>
        </w:tc>
      </w:tr>
    </w:tbl>
    <w:p/>
    <w:p>
      <w:pPr>
        <w:pStyle w:val="Callout"/>
      </w:pPr>
      <w:r>
        <w:t>Condiciones sugeridas: 40% anticipo, 40% al entregar versión funcional en pruebas, 20% contra aceptación del MVP. Ajustar según negociación.</w:t>
      </w:r>
    </w:p>
    <w:p>
      <w:pPr>
        <w:pStyle w:val="Heading1"/>
      </w:pPr>
      <w:r>
        <w:t>13. Próximos pasos</w:t>
      </w:r>
    </w:p>
    <w:p>
      <w:pPr>
        <w:pStyle w:val="ListNumber"/>
      </w:pPr>
      <w:r>
        <w:t>Aprobación del enfoque MVP BIND-first.</w:t>
      </w:r>
    </w:p>
    <w:p>
      <w:pPr>
        <w:pStyle w:val="ListNumber"/>
      </w:pPr>
      <w:r>
        <w:t>Asignación de contacto técnico y operativo por parte de Balam.</w:t>
      </w:r>
    </w:p>
    <w:p>
      <w:pPr>
        <w:pStyle w:val="ListNumber"/>
      </w:pPr>
      <w:r>
        <w:t>Entrega de accesos/documentación/API key y datos de prueba.</w:t>
      </w:r>
    </w:p>
    <w:p>
      <w:pPr>
        <w:pStyle w:val="ListNumber"/>
      </w:pPr>
      <w:r>
        <w:t>Sesión de discovery técnico de 60 a 90 minutos con Noe/Pedro/Erika/Ara según disponibilidad.</w:t>
      </w:r>
    </w:p>
    <w:p>
      <w:pPr>
        <w:pStyle w:val="ListNumber"/>
      </w:pPr>
      <w:r>
        <w:t>Inicio del desarrollo conforme a alcance aprobado.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jc w:val="right"/>
    </w:pPr>
    <w:r/>
    <w:r>
      <w:t xml:space="preserve">Página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t>Balam · Propuesta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">
    <w:name w:val="Small"/>
    <w:rPr>
      <w:rFonts w:ascii="Aptos" w:hAnsi="Aptos"/>
      <w:color w:val="5A5A5A"/>
      <w:sz w:val="17"/>
    </w:rPr>
  </w:style>
  <w:style w:type="paragraph" w:customStyle="1" w:styleId="Callout">
    <w:name w:val="Callout"/>
    <w:rPr>
      <w:rFonts w:ascii="Aptos" w:hAnsi="Aptos"/>
      <w:i/>
      <w:color w:val="444444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Propuesta Tecnica Comercial Balam MVP BIND First</dc:title>
  <dc:subject/>
  <dc:creator>Johann Velazquez</dc:creator>
  <cp:keywords/>
  <dc:description>Documento generado como base editable para propuesta Balam.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