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F4E79"/>
          <w:sz w:val="48"/>
        </w:rPr>
        <w:t>Balam</w:t>
      </w:r>
    </w:p>
    <w:p>
      <w:pPr>
        <w:jc w:val="center"/>
      </w:pPr>
      <w:r>
        <w:rPr>
          <w:b/>
          <w:color w:val="1F4E79"/>
          <w:sz w:val="40"/>
        </w:rPr>
        <w:t>Statement of Work / Alcance de trabajo</w:t>
      </w:r>
    </w:p>
    <w:p>
      <w:pPr>
        <w:jc w:val="center"/>
      </w:pPr>
      <w:r>
        <w:rPr>
          <w:color w:val="505050"/>
          <w:sz w:val="24"/>
        </w:rPr>
        <w:t>Fase 1 · MVP BIND-first</w:t>
      </w:r>
    </w:p>
    <w:p>
      <w:pPr>
        <w:jc w:val="center"/>
      </w:pPr>
      <w:r>
        <w:rPr>
          <w:b/>
        </w:rPr>
        <w:t>Preparado para: Noe Rocha, Erika Chávez, Araceli Sánchez Jiménez y Pedro Alberto Ayala Elizondo</w:t>
        <w:br/>
      </w:r>
      <w:r>
        <w:t>Preparado por: Johann Velazquez</w:t>
        <w:br/>
        <w:t>Fecha: 27 de mayo de 2026</w:t>
      </w:r>
    </w:p>
    <w:p>
      <w:pPr>
        <w:pStyle w:val="Callout"/>
      </w:pPr>
      <w:r>
        <w:t>Versión editable para revisión. Los montos comerciales deben ser completados por Johann antes de enviar al cliente.</w:t>
      </w:r>
    </w:p>
    <w:p>
      <w:r>
        <w:br w:type="page"/>
      </w:r>
    </w:p>
    <w:p>
      <w:pPr>
        <w:pStyle w:val="Heading1"/>
      </w:pPr>
      <w:r>
        <w:t>1. Propósito del documento</w:t>
      </w:r>
    </w:p>
    <w:p>
      <w:r>
        <w:t>Este documento define el alcance, entregables, supuestos, responsabilidades y criterios de aceptación para la Fase 1 del proyecto de automatización financiera de Balam.</w:t>
      </w:r>
    </w:p>
    <w:p>
      <w:pPr>
        <w:pStyle w:val="Heading1"/>
      </w:pPr>
      <w:r>
        <w:t>2. Objetivo de la Fase 1</w:t>
      </w:r>
    </w:p>
    <w:p>
      <w:r>
        <w:t>Desarrollar un MVP funcional que centralice el seguimiento de facturación y cobranza de Balam a partir de BIND ERP, con dashboard, alertas, reportes y trazabilidad operativa.</w:t>
      </w:r>
    </w:p>
    <w:p>
      <w:pPr>
        <w:pStyle w:val="Heading1"/>
      </w:pPr>
      <w:r>
        <w:t>3. Alcance incluido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2880"/>
            <w:shd w:fill="1F4E79"/>
            <w:vAlign w:val="center"/>
          </w:tcPr>
          <w:p>
            <w:r>
              <w:rPr>
                <w:color w:val="FFFFFF"/>
              </w:rPr>
              <w:t>Área</w:t>
            </w:r>
          </w:p>
        </w:tc>
        <w:tc>
          <w:tcPr>
            <w:tcW w:type="dxa" w:w="7632"/>
            <w:shd w:fill="1F4E79"/>
            <w:vAlign w:val="center"/>
          </w:tcPr>
          <w:p>
            <w:r>
              <w:rPr>
                <w:color w:val="FFFFFF"/>
              </w:rPr>
              <w:t>Alcance</w:t>
            </w:r>
          </w:p>
        </w:tc>
      </w:tr>
      <w:tr>
        <w:tc>
          <w:tcPr>
            <w:tcW w:type="dxa" w:w="2880"/>
            <w:vAlign w:val="top"/>
          </w:tcPr>
          <w:p>
            <w:r>
              <w:t>Discovery</w:t>
            </w:r>
          </w:p>
        </w:tc>
        <w:tc>
          <w:tcPr>
            <w:tcW w:type="dxa" w:w="7632"/>
            <w:vAlign w:val="top"/>
          </w:tcPr>
          <w:p>
            <w:r>
              <w:t>Revisión de flujo operativo, validación de API BIND, definición de campos, reglas de cobranza y criterios de aceptación.</w:t>
            </w:r>
          </w:p>
        </w:tc>
      </w:tr>
      <w:tr>
        <w:tc>
          <w:tcPr>
            <w:tcW w:type="dxa" w:w="2880"/>
            <w:vAlign w:val="top"/>
          </w:tcPr>
          <w:p>
            <w:r>
              <w:t>Integración BIND</w:t>
            </w:r>
          </w:p>
        </w:tc>
        <w:tc>
          <w:tcPr>
            <w:tcW w:type="dxa" w:w="7632"/>
            <w:vAlign w:val="top"/>
          </w:tcPr>
          <w:p>
            <w:r>
              <w:t>Conexión y sincronización de datos disponibles relacionados con clientes, facturas/cotizaciones y estados.</w:t>
            </w:r>
          </w:p>
        </w:tc>
      </w:tr>
      <w:tr>
        <w:tc>
          <w:tcPr>
            <w:tcW w:type="dxa" w:w="2880"/>
            <w:vAlign w:val="top"/>
          </w:tcPr>
          <w:p>
            <w:r>
              <w:t>Normalización de datos</w:t>
            </w:r>
          </w:p>
        </w:tc>
        <w:tc>
          <w:tcPr>
            <w:tcW w:type="dxa" w:w="7632"/>
            <w:vAlign w:val="top"/>
          </w:tcPr>
          <w:p>
            <w:r>
              <w:t>Modelo central para clientes, facturas, vencimientos, estados, alertas, usuarios y bitácora.</w:t>
            </w:r>
          </w:p>
        </w:tc>
      </w:tr>
      <w:tr>
        <w:tc>
          <w:tcPr>
            <w:tcW w:type="dxa" w:w="2880"/>
            <w:vAlign w:val="top"/>
          </w:tcPr>
          <w:p>
            <w:r>
              <w:t>Dashboard</w:t>
            </w:r>
          </w:p>
        </w:tc>
        <w:tc>
          <w:tcPr>
            <w:tcW w:type="dxa" w:w="7632"/>
            <w:vAlign w:val="top"/>
          </w:tcPr>
          <w:p>
            <w:r>
              <w:t>KPIs de facturación, cuentas por cobrar, vencimientos, cartera por cliente y estado de alertas.</w:t>
            </w:r>
          </w:p>
        </w:tc>
      </w:tr>
      <w:tr>
        <w:tc>
          <w:tcPr>
            <w:tcW w:type="dxa" w:w="2880"/>
            <w:vAlign w:val="top"/>
          </w:tcPr>
          <w:p>
            <w:r>
              <w:t>Cobranza</w:t>
            </w:r>
          </w:p>
        </w:tc>
        <w:tc>
          <w:tcPr>
            <w:tcW w:type="dxa" w:w="7632"/>
            <w:vAlign w:val="top"/>
          </w:tcPr>
          <w:p>
            <w:r>
              <w:t>Seguimiento de facturas pendientes/vencidas, aging y templates de comunicación.</w:t>
            </w:r>
          </w:p>
        </w:tc>
      </w:tr>
      <w:tr>
        <w:tc>
          <w:tcPr>
            <w:tcW w:type="dxa" w:w="2880"/>
            <w:vAlign w:val="top"/>
          </w:tcPr>
          <w:p>
            <w:r>
              <w:t>Alertas</w:t>
            </w:r>
          </w:p>
        </w:tc>
        <w:tc>
          <w:tcPr>
            <w:tcW w:type="dxa" w:w="7632"/>
            <w:vAlign w:val="top"/>
          </w:tcPr>
          <w:p>
            <w:r>
              <w:t>Reglas configurables para alertas de vencimiento, especialmente 5 días antes de vencimiento.</w:t>
            </w:r>
          </w:p>
        </w:tc>
      </w:tr>
      <w:tr>
        <w:tc>
          <w:tcPr>
            <w:tcW w:type="dxa" w:w="2880"/>
            <w:vAlign w:val="top"/>
          </w:tcPr>
          <w:p>
            <w:r>
              <w:t>Excepciones</w:t>
            </w:r>
          </w:p>
        </w:tc>
        <w:tc>
          <w:tcPr>
            <w:tcW w:type="dxa" w:w="7632"/>
            <w:vAlign w:val="top"/>
          </w:tcPr>
          <w:p>
            <w:r>
              <w:t>Reglas configurables para clientes que no reciben recordatorios automáticos masivos.</w:t>
            </w:r>
          </w:p>
        </w:tc>
      </w:tr>
      <w:tr>
        <w:tc>
          <w:tcPr>
            <w:tcW w:type="dxa" w:w="2880"/>
            <w:vAlign w:val="top"/>
          </w:tcPr>
          <w:p>
            <w:r>
              <w:t>Reportes</w:t>
            </w:r>
          </w:p>
        </w:tc>
        <w:tc>
          <w:tcPr>
            <w:tcW w:type="dxa" w:w="7632"/>
            <w:vAlign w:val="top"/>
          </w:tcPr>
          <w:p>
            <w:r>
              <w:t>Exportables y reportes operativos acordados.</w:t>
            </w:r>
          </w:p>
        </w:tc>
      </w:tr>
      <w:tr>
        <w:tc>
          <w:tcPr>
            <w:tcW w:type="dxa" w:w="2880"/>
            <w:vAlign w:val="top"/>
          </w:tcPr>
          <w:p>
            <w:r>
              <w:t>Auditoría</w:t>
            </w:r>
          </w:p>
        </w:tc>
        <w:tc>
          <w:tcPr>
            <w:tcW w:type="dxa" w:w="7632"/>
            <w:vAlign w:val="top"/>
          </w:tcPr>
          <w:p>
            <w:r>
              <w:t>Bitácora de eventos, sincronizaciones, acciones manuales y alertas.</w:t>
            </w:r>
          </w:p>
        </w:tc>
      </w:tr>
      <w:tr>
        <w:tc>
          <w:tcPr>
            <w:tcW w:type="dxa" w:w="2880"/>
            <w:vAlign w:val="top"/>
          </w:tcPr>
          <w:p>
            <w:r>
              <w:t>Documentación</w:t>
            </w:r>
          </w:p>
        </w:tc>
        <w:tc>
          <w:tcPr>
            <w:tcW w:type="dxa" w:w="7632"/>
            <w:vAlign w:val="top"/>
          </w:tcPr>
          <w:p>
            <w:r>
              <w:t>Manual básico de uso y documentación técnica de configuración/despliegue.</w:t>
            </w:r>
          </w:p>
        </w:tc>
      </w:tr>
    </w:tbl>
    <w:p/>
    <w:p>
      <w:pPr>
        <w:pStyle w:val="Heading1"/>
      </w:pPr>
      <w:r>
        <w:t>4. Alcance excluido</w:t>
      </w:r>
    </w:p>
    <w:p>
      <w:pPr>
        <w:pStyle w:val="ListBullet"/>
      </w:pPr>
      <w:r>
        <w:t>Integración bancaria directa con Intercam, Banorte, IBC Bank Texas u otros bancos.</w:t>
      </w:r>
    </w:p>
    <w:p>
      <w:pPr>
        <w:pStyle w:val="ListBullet"/>
      </w:pPr>
      <w:r>
        <w:t>Conciliación bancaria automática completa.</w:t>
      </w:r>
    </w:p>
    <w:p>
      <w:pPr>
        <w:pStyle w:val="ListBullet"/>
      </w:pPr>
      <w:r>
        <w:t>Procesamiento de tickets físicos o comprobaciones de tarjetas corporativas.</w:t>
      </w:r>
    </w:p>
    <w:p>
      <w:pPr>
        <w:pStyle w:val="ListBullet"/>
      </w:pPr>
      <w:r>
        <w:t>Integración productiva con BUK, Book o Jira.</w:t>
      </w:r>
    </w:p>
    <w:p>
      <w:pPr>
        <w:pStyle w:val="ListBullet"/>
      </w:pPr>
      <w:r>
        <w:t>Automatización completa de asientos contables en producción sin reglas validadas.</w:t>
      </w:r>
    </w:p>
    <w:p>
      <w:pPr>
        <w:pStyle w:val="ListBullet"/>
      </w:pPr>
      <w:r>
        <w:t>Timbrado CFDI propio fuera de BIND o sustitución del PAC actual.</w:t>
      </w:r>
    </w:p>
    <w:p>
      <w:pPr>
        <w:pStyle w:val="ListBullet"/>
      </w:pPr>
      <w:r>
        <w:t>Soporte a EUR como operación productiva en MVP.</w:t>
      </w:r>
    </w:p>
    <w:p>
      <w:pPr>
        <w:pStyle w:val="ListBullet"/>
      </w:pPr>
      <w:r>
        <w:t>Módulos avanzados de IA o agentes autónomos que ejecuten acciones sin aprobación humana.</w:t>
      </w:r>
    </w:p>
    <w:p>
      <w:pPr>
        <w:pStyle w:val="Heading1"/>
      </w:pPr>
      <w:r>
        <w:t>5. Entregables formales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rPr>
          <w:tblHeader w:val="true"/>
        </w:trPr>
        <w:tc>
          <w:tcPr>
            <w:tcW w:type="dxa" w:w="2304"/>
            <w:shd w:fill="1F4E79"/>
            <w:vAlign w:val="center"/>
          </w:tcPr>
          <w:p>
            <w:r>
              <w:rPr>
                <w:color w:val="FFFFFF"/>
              </w:rPr>
              <w:t>Entregable</w:t>
            </w:r>
          </w:p>
        </w:tc>
        <w:tc>
          <w:tcPr>
            <w:tcW w:type="dxa" w:w="4320"/>
            <w:shd w:fill="1F4E79"/>
            <w:vAlign w:val="center"/>
          </w:tcPr>
          <w:p>
            <w:r>
              <w:rPr>
                <w:color w:val="FFFFFF"/>
              </w:rPr>
              <w:t>Descripción</w:t>
            </w:r>
          </w:p>
        </w:tc>
        <w:tc>
          <w:tcPr>
            <w:tcW w:type="dxa" w:w="3888"/>
            <w:shd w:fill="1F4E79"/>
            <w:vAlign w:val="center"/>
          </w:tcPr>
          <w:p>
            <w:r>
              <w:rPr>
                <w:color w:val="FFFFFF"/>
              </w:rPr>
              <w:t>Criterio de entrega</w:t>
            </w:r>
          </w:p>
        </w:tc>
      </w:tr>
      <w:tr>
        <w:tc>
          <w:tcPr>
            <w:tcW w:type="dxa" w:w="2304"/>
            <w:vAlign w:val="top"/>
          </w:tcPr>
          <w:p>
            <w:r>
              <w:t>E1. Discovery técnico</w:t>
            </w:r>
          </w:p>
        </w:tc>
        <w:tc>
          <w:tcPr>
            <w:tcW w:type="dxa" w:w="4320"/>
            <w:vAlign w:val="top"/>
          </w:tcPr>
          <w:p>
            <w:r>
              <w:t>Documento de hallazgos, endpoints validados, riesgos y flujo operativo final.</w:t>
            </w:r>
          </w:p>
        </w:tc>
        <w:tc>
          <w:tcPr>
            <w:tcW w:type="dxa" w:w="3888"/>
            <w:vAlign w:val="top"/>
          </w:tcPr>
          <w:p>
            <w:r>
              <w:t>Aprobado por Noe/Pedro o responsable técnico asignado.</w:t>
            </w:r>
          </w:p>
        </w:tc>
      </w:tr>
      <w:tr>
        <w:tc>
          <w:tcPr>
            <w:tcW w:type="dxa" w:w="2304"/>
            <w:vAlign w:val="top"/>
          </w:tcPr>
          <w:p>
            <w:r>
              <w:t>E2. Plataforma web MVP</w:t>
            </w:r>
          </w:p>
        </w:tc>
        <w:tc>
          <w:tcPr>
            <w:tcW w:type="dxa" w:w="4320"/>
            <w:vAlign w:val="top"/>
          </w:tcPr>
          <w:p>
            <w:r>
              <w:t>Frontend, backend, base de datos, autenticación básica y módulos incluidos.</w:t>
            </w:r>
          </w:p>
        </w:tc>
        <w:tc>
          <w:tcPr>
            <w:tcW w:type="dxa" w:w="3888"/>
            <w:vAlign w:val="top"/>
          </w:tcPr>
          <w:p>
            <w:r>
              <w:t>Disponible en ambiente acordado y accesible por usuarios de prueba.</w:t>
            </w:r>
          </w:p>
        </w:tc>
      </w:tr>
      <w:tr>
        <w:tc>
          <w:tcPr>
            <w:tcW w:type="dxa" w:w="2304"/>
            <w:vAlign w:val="top"/>
          </w:tcPr>
          <w:p>
            <w:r>
              <w:t>E3. Integración BIND</w:t>
            </w:r>
          </w:p>
        </w:tc>
        <w:tc>
          <w:tcPr>
            <w:tcW w:type="dxa" w:w="4320"/>
            <w:vAlign w:val="top"/>
          </w:tcPr>
          <w:p>
            <w:r>
              <w:t>Sincronización de datos disponibles en API o flujo alternativo aprobado.</w:t>
            </w:r>
          </w:p>
        </w:tc>
        <w:tc>
          <w:tcPr>
            <w:tcW w:type="dxa" w:w="3888"/>
            <w:vAlign w:val="top"/>
          </w:tcPr>
          <w:p>
            <w:r>
              <w:t>Prueba exitosa con datos reales/controlados.</w:t>
            </w:r>
          </w:p>
        </w:tc>
      </w:tr>
      <w:tr>
        <w:tc>
          <w:tcPr>
            <w:tcW w:type="dxa" w:w="2304"/>
            <w:vAlign w:val="top"/>
          </w:tcPr>
          <w:p>
            <w:r>
              <w:t>E4. Dashboard y reportes</w:t>
            </w:r>
          </w:p>
        </w:tc>
        <w:tc>
          <w:tcPr>
            <w:tcW w:type="dxa" w:w="4320"/>
            <w:vAlign w:val="top"/>
          </w:tcPr>
          <w:p>
            <w:r>
              <w:t>Visualización de KPIs y exportables.</w:t>
            </w:r>
          </w:p>
        </w:tc>
        <w:tc>
          <w:tcPr>
            <w:tcW w:type="dxa" w:w="3888"/>
            <w:vAlign w:val="top"/>
          </w:tcPr>
          <w:p>
            <w:r>
              <w:t>Campos y filtros acordados funcionan correctamente.</w:t>
            </w:r>
          </w:p>
        </w:tc>
      </w:tr>
      <w:tr>
        <w:tc>
          <w:tcPr>
            <w:tcW w:type="dxa" w:w="2304"/>
            <w:vAlign w:val="top"/>
          </w:tcPr>
          <w:p>
            <w:r>
              <w:t>E5. Alertas y reglas</w:t>
            </w:r>
          </w:p>
        </w:tc>
        <w:tc>
          <w:tcPr>
            <w:tcW w:type="dxa" w:w="4320"/>
            <w:vAlign w:val="top"/>
          </w:tcPr>
          <w:p>
            <w:r>
              <w:t>Configuración de vencimientos, exclusiones y templates.</w:t>
            </w:r>
          </w:p>
        </w:tc>
        <w:tc>
          <w:tcPr>
            <w:tcW w:type="dxa" w:w="3888"/>
            <w:vAlign w:val="top"/>
          </w:tcPr>
          <w:p>
            <w:r>
              <w:t>Pruebas de alertas aprobadas por Balam.</w:t>
            </w:r>
          </w:p>
        </w:tc>
      </w:tr>
      <w:tr>
        <w:tc>
          <w:tcPr>
            <w:tcW w:type="dxa" w:w="2304"/>
            <w:vAlign w:val="top"/>
          </w:tcPr>
          <w:p>
            <w:r>
              <w:t>E6. Documentación</w:t>
            </w:r>
          </w:p>
        </w:tc>
        <w:tc>
          <w:tcPr>
            <w:tcW w:type="dxa" w:w="4320"/>
            <w:vAlign w:val="top"/>
          </w:tcPr>
          <w:p>
            <w:r>
              <w:t>Manual básico y documentación técnica.</w:t>
            </w:r>
          </w:p>
        </w:tc>
        <w:tc>
          <w:tcPr>
            <w:tcW w:type="dxa" w:w="3888"/>
            <w:vAlign w:val="top"/>
          </w:tcPr>
          <w:p>
            <w:r>
              <w:t>Entregada en formato editable o PDF según se acuerde.</w:t>
            </w:r>
          </w:p>
        </w:tc>
      </w:tr>
    </w:tbl>
    <w:p/>
    <w:p>
      <w:pPr>
        <w:pStyle w:val="Heading1"/>
      </w:pPr>
      <w:r>
        <w:t>6. Responsabilidades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rPr>
          <w:tblHeader w:val="true"/>
        </w:trPr>
        <w:tc>
          <w:tcPr>
            <w:tcW w:type="dxa" w:w="3600"/>
            <w:shd w:fill="1F4E79"/>
            <w:vAlign w:val="center"/>
          </w:tcPr>
          <w:p>
            <w:r>
              <w:rPr>
                <w:color w:val="FFFFFF"/>
              </w:rPr>
              <w:t>Responsable</w:t>
            </w:r>
          </w:p>
        </w:tc>
        <w:tc>
          <w:tcPr>
            <w:tcW w:type="dxa" w:w="6912"/>
            <w:shd w:fill="1F4E79"/>
            <w:vAlign w:val="center"/>
          </w:tcPr>
          <w:p>
            <w:r>
              <w:rPr>
                <w:color w:val="FFFFFF"/>
              </w:rPr>
              <w:t>Responsabilidades</w:t>
            </w:r>
          </w:p>
        </w:tc>
      </w:tr>
      <w:tr>
        <w:tc>
          <w:tcPr>
            <w:tcW w:type="dxa" w:w="3600"/>
            <w:vAlign w:val="top"/>
          </w:tcPr>
          <w:p>
            <w:r>
              <w:t>Balam</w:t>
            </w:r>
          </w:p>
        </w:tc>
        <w:tc>
          <w:tcPr>
            <w:tcW w:type="dxa" w:w="6912"/>
            <w:vAlign w:val="top"/>
          </w:tcPr>
          <w:p>
            <w:r>
              <w:t>Proporcionar accesos, API keys, documentación, usuarios de prueba, reglas de negocio, clientes excepcionados, validación operativa y feedback oportuno.</w:t>
            </w:r>
          </w:p>
        </w:tc>
      </w:tr>
      <w:tr>
        <w:tc>
          <w:tcPr>
            <w:tcW w:type="dxa" w:w="3600"/>
            <w:vAlign w:val="top"/>
          </w:tcPr>
          <w:p>
            <w:r>
              <w:t>Johann Velazquez</w:t>
            </w:r>
          </w:p>
        </w:tc>
        <w:tc>
          <w:tcPr>
            <w:tcW w:type="dxa" w:w="6912"/>
            <w:vAlign w:val="top"/>
          </w:tcPr>
          <w:p>
            <w:r>
              <w:t>Diseñar, desarrollar, integrar, probar, documentar y entregar el MVP conforme a alcance aprobado.</w:t>
            </w:r>
          </w:p>
        </w:tc>
      </w:tr>
      <w:tr>
        <w:tc>
          <w:tcPr>
            <w:tcW w:type="dxa" w:w="3600"/>
            <w:vAlign w:val="top"/>
          </w:tcPr>
          <w:p>
            <w:r>
              <w:t>Noe Rocha</w:t>
            </w:r>
          </w:p>
        </w:tc>
        <w:tc>
          <w:tcPr>
            <w:tcW w:type="dxa" w:w="6912"/>
            <w:vAlign w:val="top"/>
          </w:tcPr>
          <w:p>
            <w:r>
              <w:t>Validar arquitectura, integración, seguridad, priorización técnica y decisiones de alcance.</w:t>
            </w:r>
          </w:p>
        </w:tc>
      </w:tr>
      <w:tr>
        <w:tc>
          <w:tcPr>
            <w:tcW w:type="dxa" w:w="3600"/>
            <w:vAlign w:val="top"/>
          </w:tcPr>
          <w:p>
            <w:r>
              <w:t>Erika Chávez</w:t>
            </w:r>
          </w:p>
        </w:tc>
        <w:tc>
          <w:tcPr>
            <w:tcW w:type="dxa" w:w="6912"/>
            <w:vAlign w:val="top"/>
          </w:tcPr>
          <w:p>
            <w:r>
              <w:t>Coordinar sesiones, acuerdos, calendario, responsables y control de avances.</w:t>
            </w:r>
          </w:p>
        </w:tc>
      </w:tr>
      <w:tr>
        <w:tc>
          <w:tcPr>
            <w:tcW w:type="dxa" w:w="3600"/>
            <w:vAlign w:val="top"/>
          </w:tcPr>
          <w:p>
            <w:r>
              <w:t>Araceli Sánchez Jiménez</w:t>
            </w:r>
          </w:p>
        </w:tc>
        <w:tc>
          <w:tcPr>
            <w:tcW w:type="dxa" w:w="6912"/>
            <w:vAlign w:val="top"/>
          </w:tcPr>
          <w:p>
            <w:r>
              <w:t>Validar reglas operativas, reportes directivos, excepciones de clientes y criterios de negocio.</w:t>
            </w:r>
          </w:p>
        </w:tc>
      </w:tr>
      <w:tr>
        <w:tc>
          <w:tcPr>
            <w:tcW w:type="dxa" w:w="3600"/>
            <w:vAlign w:val="top"/>
          </w:tcPr>
          <w:p>
            <w:r>
              <w:t>Pedro Alberto Ayala Elizondo</w:t>
            </w:r>
          </w:p>
        </w:tc>
        <w:tc>
          <w:tcPr>
            <w:tcW w:type="dxa" w:w="6912"/>
            <w:vAlign w:val="top"/>
          </w:tcPr>
          <w:p>
            <w:r>
              <w:t>Facilitar información técnica, accesos, pruebas, contacto con proveedores y validación de datos.</w:t>
            </w:r>
          </w:p>
        </w:tc>
      </w:tr>
    </w:tbl>
    <w:p/>
    <w:p>
      <w:pPr>
        <w:pStyle w:val="Heading1"/>
      </w:pPr>
      <w:r>
        <w:t>7. RACI de alto nivel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694"/>
        <w:gridCol w:w="1694"/>
        <w:gridCol w:w="1694"/>
        <w:gridCol w:w="1694"/>
        <w:gridCol w:w="1694"/>
        <w:gridCol w:w="1694"/>
      </w:tblGrid>
      <w:tr>
        <w:trPr>
          <w:tblHeader w:val="true"/>
        </w:trPr>
        <w:tc>
          <w:tcPr>
            <w:tcW w:type="dxa" w:w="3600"/>
            <w:shd w:fill="1F4E79"/>
            <w:vAlign w:val="center"/>
          </w:tcPr>
          <w:p>
            <w:r>
              <w:rPr>
                <w:color w:val="FFFFFF"/>
              </w:rPr>
              <w:t>Actividad</w:t>
            </w:r>
          </w:p>
        </w:tc>
        <w:tc>
          <w:tcPr>
            <w:tcW w:type="dxa" w:w="1296"/>
            <w:shd w:fill="1F4E79"/>
            <w:vAlign w:val="center"/>
          </w:tcPr>
          <w:p>
            <w:r>
              <w:rPr>
                <w:color w:val="FFFFFF"/>
              </w:rPr>
              <w:t>Johann</w:t>
            </w:r>
          </w:p>
        </w:tc>
        <w:tc>
          <w:tcPr>
            <w:tcW w:type="dxa" w:w="1296"/>
            <w:shd w:fill="1F4E79"/>
            <w:vAlign w:val="center"/>
          </w:tcPr>
          <w:p>
            <w:r>
              <w:rPr>
                <w:color w:val="FFFFFF"/>
              </w:rPr>
              <w:t>Noe</w:t>
            </w:r>
          </w:p>
        </w:tc>
        <w:tc>
          <w:tcPr>
            <w:tcW w:type="dxa" w:w="1296"/>
            <w:shd w:fill="1F4E79"/>
            <w:vAlign w:val="center"/>
          </w:tcPr>
          <w:p>
            <w:r>
              <w:rPr>
                <w:color w:val="FFFFFF"/>
              </w:rPr>
              <w:t>Erika</w:t>
            </w:r>
          </w:p>
        </w:tc>
        <w:tc>
          <w:tcPr>
            <w:tcW w:type="dxa" w:w="1296"/>
            <w:shd w:fill="1F4E79"/>
            <w:vAlign w:val="center"/>
          </w:tcPr>
          <w:p>
            <w:r>
              <w:rPr>
                <w:color w:val="FFFFFF"/>
              </w:rPr>
              <w:t>Ara</w:t>
            </w:r>
          </w:p>
        </w:tc>
        <w:tc>
          <w:tcPr>
            <w:tcW w:type="dxa" w:w="1296"/>
            <w:shd w:fill="1F4E79"/>
            <w:vAlign w:val="center"/>
          </w:tcPr>
          <w:p>
            <w:r>
              <w:rPr>
                <w:color w:val="FFFFFF"/>
              </w:rPr>
              <w:t>Pedro</w:t>
            </w:r>
          </w:p>
        </w:tc>
      </w:tr>
      <w:tr>
        <w:tc>
          <w:tcPr>
            <w:tcW w:type="dxa" w:w="3600"/>
            <w:vAlign w:val="top"/>
          </w:tcPr>
          <w:p>
            <w:r>
              <w:t>Definir alcance final de Fase 1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</w:tr>
      <w:tr>
        <w:tc>
          <w:tcPr>
            <w:tcW w:type="dxa" w:w="3600"/>
            <w:vAlign w:val="top"/>
          </w:tcPr>
          <w:p>
            <w:r>
              <w:t>Proveer accesos BIND/API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I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</w:tr>
      <w:tr>
        <w:tc>
          <w:tcPr>
            <w:tcW w:type="dxa" w:w="3600"/>
            <w:vAlign w:val="top"/>
          </w:tcPr>
          <w:p>
            <w:r>
              <w:t>Validar reglas de cobranza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</w:tr>
      <w:tr>
        <w:tc>
          <w:tcPr>
            <w:tcW w:type="dxa" w:w="3600"/>
            <w:vAlign w:val="top"/>
          </w:tcPr>
          <w:p>
            <w:r>
              <w:t>Desarrollar plataforma</w:t>
            </w:r>
          </w:p>
        </w:tc>
        <w:tc>
          <w:tcPr>
            <w:tcW w:type="dxa" w:w="1296"/>
            <w:vAlign w:val="top"/>
          </w:tcPr>
          <w:p>
            <w:r>
              <w:t>A/R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I</w:t>
            </w:r>
          </w:p>
        </w:tc>
        <w:tc>
          <w:tcPr>
            <w:tcW w:type="dxa" w:w="1296"/>
            <w:vAlign w:val="top"/>
          </w:tcPr>
          <w:p>
            <w:r>
              <w:t>I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</w:tr>
      <w:tr>
        <w:tc>
          <w:tcPr>
            <w:tcW w:type="dxa" w:w="3600"/>
            <w:vAlign w:val="top"/>
          </w:tcPr>
          <w:p>
            <w:r>
              <w:t>Validar dashboard directivo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</w:tr>
      <w:tr>
        <w:tc>
          <w:tcPr>
            <w:tcW w:type="dxa" w:w="3600"/>
            <w:vAlign w:val="top"/>
          </w:tcPr>
          <w:p>
            <w:r>
              <w:t>Pruebas técnicas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I</w:t>
            </w:r>
          </w:p>
        </w:tc>
        <w:tc>
          <w:tcPr>
            <w:tcW w:type="dxa" w:w="1296"/>
            <w:vAlign w:val="top"/>
          </w:tcPr>
          <w:p>
            <w:r>
              <w:t>I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</w:tr>
      <w:tr>
        <w:tc>
          <w:tcPr>
            <w:tcW w:type="dxa" w:w="3600"/>
            <w:vAlign w:val="top"/>
          </w:tcPr>
          <w:p>
            <w:r>
              <w:t>Aceptación del MVP</w:t>
            </w:r>
          </w:p>
        </w:tc>
        <w:tc>
          <w:tcPr>
            <w:tcW w:type="dxa" w:w="1296"/>
            <w:vAlign w:val="top"/>
          </w:tcPr>
          <w:p>
            <w:r>
              <w:t>R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  <w:tc>
          <w:tcPr>
            <w:tcW w:type="dxa" w:w="1296"/>
            <w:vAlign w:val="top"/>
          </w:tcPr>
          <w:p>
            <w:r>
              <w:t>A</w:t>
            </w:r>
          </w:p>
        </w:tc>
        <w:tc>
          <w:tcPr>
            <w:tcW w:type="dxa" w:w="1296"/>
            <w:vAlign w:val="top"/>
          </w:tcPr>
          <w:p>
            <w:r>
              <w:t>C</w:t>
            </w:r>
          </w:p>
        </w:tc>
      </w:tr>
    </w:tbl>
    <w:p/>
    <w:p>
      <w:pPr>
        <w:pStyle w:val="Small"/>
      </w:pPr>
      <w:r>
        <w:t>R = Responsable, A = Aprueba, C = Consultado, I = Informado.</w:t>
      </w:r>
    </w:p>
    <w:p>
      <w:pPr>
        <w:pStyle w:val="Heading1"/>
      </w:pPr>
      <w:r>
        <w:t>8. Control de cambios</w:t>
      </w:r>
    </w:p>
    <w:p>
      <w:r>
        <w:t>Cualquier funcionalidad no incluida en el alcance de Fase 1 se tratará como cambio de alcance. Los cambios deberán documentarse con descripción, impacto en tiempo, impacto en costo y aprobación del responsable designado por Balam antes de ejecutarse.</w:t>
      </w:r>
    </w:p>
    <w:p>
      <w:pPr>
        <w:pStyle w:val="Heading1"/>
      </w:pPr>
      <w:r>
        <w:t>9. Estrategia sin sandbox</w:t>
      </w:r>
    </w:p>
    <w:p>
      <w:pPr>
        <w:pStyle w:val="ListBullet"/>
      </w:pPr>
      <w:r>
        <w:t>Primera etapa en modo lectura siempre que la API lo permita.</w:t>
      </w:r>
    </w:p>
    <w:p>
      <w:pPr>
        <w:pStyle w:val="ListBullet"/>
      </w:pPr>
      <w:r>
        <w:t>Uso de registros controlados o usuarios con permisos limitados.</w:t>
      </w:r>
    </w:p>
    <w:p>
      <w:pPr>
        <w:pStyle w:val="ListBullet"/>
      </w:pPr>
      <w:r>
        <w:t>Feature flags para desactivar escrituras hasta validación explícita.</w:t>
      </w:r>
    </w:p>
    <w:p>
      <w:pPr>
        <w:pStyle w:val="ListBullet"/>
      </w:pPr>
      <w:r>
        <w:t>Logs completos de llamadas y respuestas relevantes.</w:t>
      </w:r>
    </w:p>
    <w:p>
      <w:pPr>
        <w:pStyle w:val="ListBullet"/>
      </w:pPr>
      <w:r>
        <w:t>No ejecutar acciones que puedan emitir, cancelar, modificar o timbrar documentos fiscales sin aprobación previa.</w:t>
      </w:r>
    </w:p>
    <w:p>
      <w:pPr>
        <w:pStyle w:val="Heading1"/>
      </w:pPr>
      <w:r>
        <w:t>10. Aceptación del proyecto</w:t>
      </w:r>
    </w:p>
    <w:p>
      <w:pPr>
        <w:pStyle w:val="ListNumber"/>
      </w:pPr>
      <w:r>
        <w:t>Johann notificará que el MVP está listo para pruebas.</w:t>
      </w:r>
    </w:p>
    <w:p>
      <w:pPr>
        <w:pStyle w:val="ListNumber"/>
      </w:pPr>
      <w:r>
        <w:t>Balam ejecutará pruebas con los casos de aceptación definidos.</w:t>
      </w:r>
    </w:p>
    <w:p>
      <w:pPr>
        <w:pStyle w:val="ListNumber"/>
      </w:pPr>
      <w:r>
        <w:t>Los hallazgos se clasificarán como defectos, ajustes menores o nuevos requerimientos.</w:t>
      </w:r>
    </w:p>
    <w:p>
      <w:pPr>
        <w:pStyle w:val="ListNumber"/>
      </w:pPr>
      <w:r>
        <w:t>Los defectos dentro del alcance serán corregidos sin costo adicional.</w:t>
      </w:r>
    </w:p>
    <w:p>
      <w:pPr>
        <w:pStyle w:val="ListNumber"/>
      </w:pPr>
      <w:r>
        <w:t>Los nuevos requerimientos se cotizarán como cambio de alcance.</w:t>
      </w:r>
    </w:p>
    <w:p>
      <w:pPr>
        <w:pStyle w:val="ListNumber"/>
      </w:pPr>
      <w:r>
        <w:t>El MVP se considerará aceptado una vez resueltos defectos críticos y aprobados los criterios principales.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  <w:jc w:val="right"/>
    </w:pPr>
    <w:r/>
    <w:r>
      <w:t xml:space="preserve">Página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t>Balam · SOW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1F4E79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hAnsi="Aptos"/>
      <w:color w:val="5A5A5A"/>
      <w:sz w:val="17"/>
    </w:rPr>
  </w:style>
  <w:style w:type="paragraph" w:customStyle="1" w:styleId="Callout">
    <w:name w:val="Callout"/>
    <w:rPr>
      <w:rFonts w:ascii="Aptos" w:hAnsi="Aptos"/>
      <w:i/>
      <w:color w:val="444444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SOW Alcance MVP BIND First Balam</dc:title>
  <dc:subject/>
  <dc:creator>Johann Velazquez</dc:creator>
  <cp:keywords/>
  <dc:description>Documento generado como base editable para propuesta Balam.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