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8"/>
        </w:rPr>
        <w:t>Balam</w:t>
      </w:r>
    </w:p>
    <w:p>
      <w:pPr>
        <w:jc w:val="center"/>
      </w:pPr>
      <w:r>
        <w:rPr>
          <w:b/>
          <w:color w:val="1F4E79"/>
          <w:sz w:val="40"/>
        </w:rPr>
        <w:t>Anexo técnico</w:t>
      </w:r>
    </w:p>
    <w:p>
      <w:pPr>
        <w:jc w:val="center"/>
      </w:pPr>
      <w:r>
        <w:rPr>
          <w:color w:val="505050"/>
          <w:sz w:val="24"/>
        </w:rPr>
        <w:t>Integraciones, discovery y arquitectura de solución</w:t>
      </w:r>
    </w:p>
    <w:p>
      <w:pPr>
        <w:jc w:val="center"/>
      </w:pPr>
      <w:r>
        <w:rPr>
          <w:b/>
        </w:rPr>
        <w:t>Preparado para: Noe Rocha, Erika Chávez, Araceli Sánchez Jiménez y Pedro Alberto Ayala Elizondo</w:t>
        <w:br/>
      </w:r>
      <w:r>
        <w:t>Preparado por: Johann Velazquez</w:t>
        <w:br/>
        <w:t>Fecha: 27 de mayo de 2026</w:t>
      </w:r>
    </w:p>
    <w:p>
      <w:pPr>
        <w:pStyle w:val="Callout"/>
      </w:pPr>
      <w:r>
        <w:t>Versión editable para revisión. Los montos comerciales deben ser completados por Johann antes de enviar al cliente.</w:t>
      </w:r>
    </w:p>
    <w:p>
      <w:r>
        <w:br w:type="page"/>
      </w:r>
    </w:p>
    <w:p>
      <w:pPr>
        <w:pStyle w:val="Heading1"/>
      </w:pPr>
      <w:r>
        <w:t>1. Arquitectura propuesta</w:t>
      </w:r>
    </w:p>
    <w:p>
      <w:r>
        <w:t>La solución se plantea como una aplicación web modular con frontend, backend API, base de datos central, módulo de integración BIND, motor de reglas y bitácora de auditoría. La arquitectura debe permitir incorporar posteriormente bancos, BUK, Book, Jira, contabilidad e IA/agentes avanzados sin rehacer el producto base.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880"/>
            <w:shd w:fill="1F4E79"/>
            <w:vAlign w:val="center"/>
          </w:tcPr>
          <w:p>
            <w:r>
              <w:rPr>
                <w:color w:val="FFFFFF"/>
              </w:rPr>
              <w:t>Componente</w:t>
            </w:r>
          </w:p>
        </w:tc>
        <w:tc>
          <w:tcPr>
            <w:tcW w:type="dxa" w:w="7632"/>
            <w:shd w:fill="1F4E79"/>
            <w:vAlign w:val="center"/>
          </w:tcPr>
          <w:p>
            <w:r>
              <w:rPr>
                <w:color w:val="FFFFFF"/>
              </w:rPr>
              <w:t>Descripción</w:t>
            </w:r>
          </w:p>
        </w:tc>
      </w:tr>
      <w:tr>
        <w:tc>
          <w:tcPr>
            <w:tcW w:type="dxa" w:w="2880"/>
            <w:vAlign w:val="top"/>
          </w:tcPr>
          <w:p>
            <w:r>
              <w:t>Frontend web</w:t>
            </w:r>
          </w:p>
        </w:tc>
        <w:tc>
          <w:tcPr>
            <w:tcW w:type="dxa" w:w="7632"/>
            <w:vAlign w:val="top"/>
          </w:tcPr>
          <w:p>
            <w:r>
              <w:t>Dashboard, vistas de facturas, cobranza, reportes, reglas y configuración.</w:t>
            </w:r>
          </w:p>
        </w:tc>
      </w:tr>
      <w:tr>
        <w:tc>
          <w:tcPr>
            <w:tcW w:type="dxa" w:w="2880"/>
            <w:vAlign w:val="top"/>
          </w:tcPr>
          <w:p>
            <w:r>
              <w:t>Backend API</w:t>
            </w:r>
          </w:p>
        </w:tc>
        <w:tc>
          <w:tcPr>
            <w:tcW w:type="dxa" w:w="7632"/>
            <w:vAlign w:val="top"/>
          </w:tcPr>
          <w:p>
            <w:r>
              <w:t>Autenticación, lógica de negocio, orquestación de integraciones, permisos, exportaciones y agentes operativos.</w:t>
            </w:r>
          </w:p>
        </w:tc>
      </w:tr>
      <w:tr>
        <w:tc>
          <w:tcPr>
            <w:tcW w:type="dxa" w:w="2880"/>
            <w:vAlign w:val="top"/>
          </w:tcPr>
          <w:p>
            <w:r>
              <w:t>Base de datos central</w:t>
            </w:r>
          </w:p>
        </w:tc>
        <w:tc>
          <w:tcPr>
            <w:tcW w:type="dxa" w:w="7632"/>
            <w:vAlign w:val="top"/>
          </w:tcPr>
          <w:p>
            <w:r>
              <w:t>Cache operativo, histórico, configuración, bitácora, alertas, estados normalizados y trazabilidad.</w:t>
            </w:r>
          </w:p>
        </w:tc>
      </w:tr>
      <w:tr>
        <w:tc>
          <w:tcPr>
            <w:tcW w:type="dxa" w:w="2880"/>
            <w:vAlign w:val="top"/>
          </w:tcPr>
          <w:p>
            <w:r>
              <w:t>Integración BIND</w:t>
            </w:r>
          </w:p>
        </w:tc>
        <w:tc>
          <w:tcPr>
            <w:tcW w:type="dxa" w:w="7632"/>
            <w:vAlign w:val="top"/>
          </w:tcPr>
          <w:p>
            <w:r>
              <w:t>Cliente API para consultar/operar información disponible según permisos y endpoints validados.</w:t>
            </w:r>
          </w:p>
        </w:tc>
      </w:tr>
      <w:tr>
        <w:tc>
          <w:tcPr>
            <w:tcW w:type="dxa" w:w="2880"/>
            <w:vAlign w:val="top"/>
          </w:tcPr>
          <w:p>
            <w:r>
              <w:t>Motor de reglas</w:t>
            </w:r>
          </w:p>
        </w:tc>
        <w:tc>
          <w:tcPr>
            <w:tcW w:type="dxa" w:w="7632"/>
            <w:vAlign w:val="top"/>
          </w:tcPr>
          <w:p>
            <w:r>
              <w:t>Vencimientos, excepciones, alertas, priorización y control de acciones.</w:t>
            </w:r>
          </w:p>
        </w:tc>
      </w:tr>
      <w:tr>
        <w:tc>
          <w:tcPr>
            <w:tcW w:type="dxa" w:w="2880"/>
            <w:vAlign w:val="top"/>
          </w:tcPr>
          <w:p>
            <w:r>
              <w:t>Agentes operativos</w:t>
            </w:r>
          </w:p>
        </w:tc>
        <w:tc>
          <w:tcPr>
            <w:tcW w:type="dxa" w:w="7632"/>
            <w:vAlign w:val="top"/>
          </w:tcPr>
          <w:p>
            <w:r>
              <w:t>Procesos programados que revisan facturas, generan alertas, reportes y listas de seguimiento.</w:t>
            </w:r>
          </w:p>
        </w:tc>
      </w:tr>
      <w:tr>
        <w:tc>
          <w:tcPr>
            <w:tcW w:type="dxa" w:w="2880"/>
            <w:vAlign w:val="top"/>
          </w:tcPr>
          <w:p>
            <w:r>
              <w:t>Capa futura de IA</w:t>
            </w:r>
          </w:p>
        </w:tc>
        <w:tc>
          <w:tcPr>
            <w:tcW w:type="dxa" w:w="7632"/>
            <w:vAlign w:val="top"/>
          </w:tcPr>
          <w:p>
            <w:r>
              <w:t>Clasificación, detección de anomalías, conciliación asistida y recomendaciones, posterior a datos confiables.</w:t>
            </w:r>
          </w:p>
        </w:tc>
      </w:tr>
    </w:tbl>
    <w:p/>
    <w:p>
      <w:pPr>
        <w:pStyle w:val="Heading1"/>
      </w:pPr>
      <w:r>
        <w:t>2. Discovery técnico BIND</w:t>
      </w:r>
    </w:p>
    <w:p>
      <w:r>
        <w:t>Durante el discovery se deberá validar lo siguiente directamente en la cuenta o documentación vigente de Balam: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160"/>
            <w:shd w:fill="1F4E79"/>
            <w:vAlign w:val="center"/>
          </w:tcPr>
          <w:p>
            <w:r>
              <w:rPr>
                <w:color w:val="FFFFFF"/>
              </w:rPr>
              <w:t>Tema</w:t>
            </w:r>
          </w:p>
        </w:tc>
        <w:tc>
          <w:tcPr>
            <w:tcW w:type="dxa" w:w="6048"/>
            <w:shd w:fill="1F4E79"/>
            <w:vAlign w:val="center"/>
          </w:tcPr>
          <w:p>
            <w:r>
              <w:rPr>
                <w:color w:val="FFFFFF"/>
              </w:rPr>
              <w:t>Validación requerida</w:t>
            </w:r>
          </w:p>
        </w:tc>
        <w:tc>
          <w:tcPr>
            <w:tcW w:type="dxa" w:w="2304"/>
            <w:shd w:fill="1F4E79"/>
            <w:vAlign w:val="center"/>
          </w:tcPr>
          <w:p>
            <w:r>
              <w:rPr>
                <w:color w:val="FFFFFF"/>
              </w:rPr>
              <w:t>Impacto</w:t>
            </w:r>
          </w:p>
        </w:tc>
      </w:tr>
      <w:tr>
        <w:tc>
          <w:tcPr>
            <w:tcW w:type="dxa" w:w="2160"/>
            <w:vAlign w:val="top"/>
          </w:tcPr>
          <w:p>
            <w:r>
              <w:t>Autenticación</w:t>
            </w:r>
          </w:p>
        </w:tc>
        <w:tc>
          <w:tcPr>
            <w:tcW w:type="dxa" w:w="6048"/>
            <w:vAlign w:val="top"/>
          </w:tcPr>
          <w:p>
            <w:r>
              <w:t>Tipo de API key/token, permisos, expiración, alcance y restricciones.</w:t>
            </w:r>
          </w:p>
        </w:tc>
        <w:tc>
          <w:tcPr>
            <w:tcW w:type="dxa" w:w="2304"/>
            <w:vAlign w:val="top"/>
          </w:tcPr>
          <w:p>
            <w:r>
              <w:t>Define seguridad y operación técnica.</w:t>
            </w:r>
          </w:p>
        </w:tc>
      </w:tr>
      <w:tr>
        <w:tc>
          <w:tcPr>
            <w:tcW w:type="dxa" w:w="2160"/>
            <w:vAlign w:val="top"/>
          </w:tcPr>
          <w:p>
            <w:r>
              <w:t>Rate limits</w:t>
            </w:r>
          </w:p>
        </w:tc>
        <w:tc>
          <w:tcPr>
            <w:tcW w:type="dxa" w:w="6048"/>
            <w:vAlign w:val="top"/>
          </w:tcPr>
          <w:p>
            <w:r>
              <w:t>Límite aplicable al plan de Balam y estrategia de uso.</w:t>
            </w:r>
          </w:p>
        </w:tc>
        <w:tc>
          <w:tcPr>
            <w:tcW w:type="dxa" w:w="2304"/>
            <w:vAlign w:val="top"/>
          </w:tcPr>
          <w:p>
            <w:r>
              <w:t>Evita bloqueos por exceso de solicitudes.</w:t>
            </w:r>
          </w:p>
        </w:tc>
      </w:tr>
      <w:tr>
        <w:tc>
          <w:tcPr>
            <w:tcW w:type="dxa" w:w="2160"/>
            <w:vAlign w:val="top"/>
          </w:tcPr>
          <w:p>
            <w:r>
              <w:t>Clientes</w:t>
            </w:r>
          </w:p>
        </w:tc>
        <w:tc>
          <w:tcPr>
            <w:tcW w:type="dxa" w:w="6048"/>
            <w:vAlign w:val="top"/>
          </w:tcPr>
          <w:p>
            <w:r>
              <w:t>Consultar, filtrar y obtener campos necesarios para cobranza/reportes.</w:t>
            </w:r>
          </w:p>
        </w:tc>
        <w:tc>
          <w:tcPr>
            <w:tcW w:type="dxa" w:w="2304"/>
            <w:vAlign w:val="top"/>
          </w:tcPr>
          <w:p>
            <w:r>
              <w:t>Base del dashboard por cliente.</w:t>
            </w:r>
          </w:p>
        </w:tc>
      </w:tr>
      <w:tr>
        <w:tc>
          <w:tcPr>
            <w:tcW w:type="dxa" w:w="2160"/>
            <w:vAlign w:val="top"/>
          </w:tcPr>
          <w:p>
            <w:r>
              <w:t>Cotizaciones</w:t>
            </w:r>
          </w:p>
        </w:tc>
        <w:tc>
          <w:tcPr>
            <w:tcW w:type="dxa" w:w="6048"/>
            <w:vAlign w:val="top"/>
          </w:tcPr>
          <w:p>
            <w:r>
              <w:t>Consultar y, si aplica, crear/convertir a factura.</w:t>
            </w:r>
          </w:p>
        </w:tc>
        <w:tc>
          <w:tcPr>
            <w:tcW w:type="dxa" w:w="2304"/>
            <w:vAlign w:val="top"/>
          </w:tcPr>
          <w:p>
            <w:r>
              <w:t>Define grado real de automatización de facturación.</w:t>
            </w:r>
          </w:p>
        </w:tc>
      </w:tr>
      <w:tr>
        <w:tc>
          <w:tcPr>
            <w:tcW w:type="dxa" w:w="2160"/>
            <w:vAlign w:val="top"/>
          </w:tcPr>
          <w:p>
            <w:r>
              <w:t>Facturas</w:t>
            </w:r>
          </w:p>
        </w:tc>
        <w:tc>
          <w:tcPr>
            <w:tcW w:type="dxa" w:w="6048"/>
            <w:vAlign w:val="top"/>
          </w:tcPr>
          <w:p>
            <w:r>
              <w:t>Consultar estado, folio, monto, moneda, fecha, vencimiento, UUID, PDF/XML si aplica.</w:t>
            </w:r>
          </w:p>
        </w:tc>
        <w:tc>
          <w:tcPr>
            <w:tcW w:type="dxa" w:w="2304"/>
            <w:vAlign w:val="top"/>
          </w:tcPr>
          <w:p>
            <w:r>
              <w:t>Núcleo del MVP.</w:t>
            </w:r>
          </w:p>
        </w:tc>
      </w:tr>
      <w:tr>
        <w:tc>
          <w:tcPr>
            <w:tcW w:type="dxa" w:w="2160"/>
            <w:vAlign w:val="top"/>
          </w:tcPr>
          <w:p>
            <w:r>
              <w:t>Pagos</w:t>
            </w:r>
          </w:p>
        </w:tc>
        <w:tc>
          <w:tcPr>
            <w:tcW w:type="dxa" w:w="6048"/>
            <w:vAlign w:val="top"/>
          </w:tcPr>
          <w:p>
            <w:r>
              <w:t>Consultar pagos registrados o saldos pendientes en BIND.</w:t>
            </w:r>
          </w:p>
        </w:tc>
        <w:tc>
          <w:tcPr>
            <w:tcW w:type="dxa" w:w="2304"/>
            <w:vAlign w:val="top"/>
          </w:tcPr>
          <w:p>
            <w:r>
              <w:t>Define precisión de cuentas por cobrar.</w:t>
            </w:r>
          </w:p>
        </w:tc>
      </w:tr>
      <w:tr>
        <w:tc>
          <w:tcPr>
            <w:tcW w:type="dxa" w:w="2160"/>
            <w:vAlign w:val="top"/>
          </w:tcPr>
          <w:p>
            <w:r>
              <w:t>Descarga documentos</w:t>
            </w:r>
          </w:p>
        </w:tc>
        <w:tc>
          <w:tcPr>
            <w:tcW w:type="dxa" w:w="6048"/>
            <w:vAlign w:val="top"/>
          </w:tcPr>
          <w:p>
            <w:r>
              <w:t>PDF/XML u otros anexos disponibles.</w:t>
            </w:r>
          </w:p>
        </w:tc>
        <w:tc>
          <w:tcPr>
            <w:tcW w:type="dxa" w:w="2304"/>
            <w:vAlign w:val="top"/>
          </w:tcPr>
          <w:p>
            <w:r>
              <w:t>Permite reportes y respaldos.</w:t>
            </w:r>
          </w:p>
        </w:tc>
      </w:tr>
      <w:tr>
        <w:tc>
          <w:tcPr>
            <w:tcW w:type="dxa" w:w="2160"/>
            <w:vAlign w:val="top"/>
          </w:tcPr>
          <w:p>
            <w:r>
              <w:t>Escritura</w:t>
            </w:r>
          </w:p>
        </w:tc>
        <w:tc>
          <w:tcPr>
            <w:tcW w:type="dxa" w:w="6048"/>
            <w:vAlign w:val="top"/>
          </w:tcPr>
          <w:p>
            <w:r>
              <w:t>Confirmar si se pueden crear/actualizar registros sin riesgo fiscal.</w:t>
            </w:r>
          </w:p>
        </w:tc>
        <w:tc>
          <w:tcPr>
            <w:tcW w:type="dxa" w:w="2304"/>
            <w:vAlign w:val="top"/>
          </w:tcPr>
          <w:p>
            <w:r>
              <w:t>Define automatización vs flujo asistido.</w:t>
            </w:r>
          </w:p>
        </w:tc>
      </w:tr>
      <w:tr>
        <w:tc>
          <w:tcPr>
            <w:tcW w:type="dxa" w:w="2160"/>
            <w:vAlign w:val="top"/>
          </w:tcPr>
          <w:p>
            <w:r>
              <w:t>Ambiente</w:t>
            </w:r>
          </w:p>
        </w:tc>
        <w:tc>
          <w:tcPr>
            <w:tcW w:type="dxa" w:w="6048"/>
            <w:vAlign w:val="top"/>
          </w:tcPr>
          <w:p>
            <w:r>
              <w:t>Confirmar si existe sandbox o solo producción.</w:t>
            </w:r>
          </w:p>
        </w:tc>
        <w:tc>
          <w:tcPr>
            <w:tcW w:type="dxa" w:w="2304"/>
            <w:vAlign w:val="top"/>
          </w:tcPr>
          <w:p>
            <w:r>
              <w:t>Define estrategia de pruebas.</w:t>
            </w:r>
          </w:p>
        </w:tc>
      </w:tr>
    </w:tbl>
    <w:p/>
    <w:p>
      <w:pPr>
        <w:pStyle w:val="Heading1"/>
      </w:pPr>
      <w:r>
        <w:t>3. Operaciones API a clasificar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4320"/>
            <w:shd w:fill="1F4E79"/>
            <w:vAlign w:val="center"/>
          </w:tcPr>
          <w:p>
            <w:r>
              <w:rPr>
                <w:color w:val="FFFFFF"/>
              </w:rPr>
              <w:t>Operación</w:t>
            </w:r>
          </w:p>
        </w:tc>
        <w:tc>
          <w:tcPr>
            <w:tcW w:type="dxa" w:w="2880"/>
            <w:shd w:fill="1F4E79"/>
            <w:vAlign w:val="center"/>
          </w:tcPr>
          <w:p>
            <w:r>
              <w:rPr>
                <w:color w:val="FFFFFF"/>
              </w:rPr>
              <w:t>Tipo</w:t>
            </w:r>
          </w:p>
        </w:tc>
        <w:tc>
          <w:tcPr>
            <w:tcW w:type="dxa" w:w="3312"/>
            <w:shd w:fill="1F4E79"/>
            <w:vAlign w:val="center"/>
          </w:tcPr>
          <w:p>
            <w:r>
              <w:rPr>
                <w:color w:val="FFFFFF"/>
              </w:rPr>
              <w:t>Estado en discovery</w:t>
            </w:r>
          </w:p>
        </w:tc>
      </w:tr>
      <w:tr>
        <w:tc>
          <w:tcPr>
            <w:tcW w:type="dxa" w:w="4320"/>
            <w:vAlign w:val="top"/>
          </w:tcPr>
          <w:p>
            <w:r>
              <w:t>Consultar clientes</w:t>
            </w:r>
          </w:p>
        </w:tc>
        <w:tc>
          <w:tcPr>
            <w:tcW w:type="dxa" w:w="2880"/>
            <w:vAlign w:val="top"/>
          </w:tcPr>
          <w:p>
            <w:r>
              <w:t>Lectura</w:t>
            </w:r>
          </w:p>
        </w:tc>
        <w:tc>
          <w:tcPr>
            <w:tcW w:type="dxa" w:w="3312"/>
            <w:vAlign w:val="top"/>
          </w:tcPr>
          <w:p>
            <w:r>
              <w:t>Pendiente de validar</w:t>
            </w:r>
          </w:p>
        </w:tc>
      </w:tr>
      <w:tr>
        <w:tc>
          <w:tcPr>
            <w:tcW w:type="dxa" w:w="4320"/>
            <w:vAlign w:val="top"/>
          </w:tcPr>
          <w:p>
            <w:r>
              <w:t>Consultar facturas/cotizaciones</w:t>
            </w:r>
          </w:p>
        </w:tc>
        <w:tc>
          <w:tcPr>
            <w:tcW w:type="dxa" w:w="2880"/>
            <w:vAlign w:val="top"/>
          </w:tcPr>
          <w:p>
            <w:r>
              <w:t>Lectura</w:t>
            </w:r>
          </w:p>
        </w:tc>
        <w:tc>
          <w:tcPr>
            <w:tcW w:type="dxa" w:w="3312"/>
            <w:vAlign w:val="top"/>
          </w:tcPr>
          <w:p>
            <w:r>
              <w:t>Pendiente de validar</w:t>
            </w:r>
          </w:p>
        </w:tc>
      </w:tr>
      <w:tr>
        <w:tc>
          <w:tcPr>
            <w:tcW w:type="dxa" w:w="4320"/>
            <w:vAlign w:val="top"/>
          </w:tcPr>
          <w:p>
            <w:r>
              <w:t>Consultar pagos o saldo de facturas</w:t>
            </w:r>
          </w:p>
        </w:tc>
        <w:tc>
          <w:tcPr>
            <w:tcW w:type="dxa" w:w="2880"/>
            <w:vAlign w:val="top"/>
          </w:tcPr>
          <w:p>
            <w:r>
              <w:t>Lectura</w:t>
            </w:r>
          </w:p>
        </w:tc>
        <w:tc>
          <w:tcPr>
            <w:tcW w:type="dxa" w:w="3312"/>
            <w:vAlign w:val="top"/>
          </w:tcPr>
          <w:p>
            <w:r>
              <w:t>Pendiente de validar</w:t>
            </w:r>
          </w:p>
        </w:tc>
      </w:tr>
      <w:tr>
        <w:tc>
          <w:tcPr>
            <w:tcW w:type="dxa" w:w="4320"/>
            <w:vAlign w:val="top"/>
          </w:tcPr>
          <w:p>
            <w:r>
              <w:t>Descargar PDF/XML</w:t>
            </w:r>
          </w:p>
        </w:tc>
        <w:tc>
          <w:tcPr>
            <w:tcW w:type="dxa" w:w="2880"/>
            <w:vAlign w:val="top"/>
          </w:tcPr>
          <w:p>
            <w:r>
              <w:t>Lectura</w:t>
            </w:r>
          </w:p>
        </w:tc>
        <w:tc>
          <w:tcPr>
            <w:tcW w:type="dxa" w:w="3312"/>
            <w:vAlign w:val="top"/>
          </w:tcPr>
          <w:p>
            <w:r>
              <w:t>Pendiente de validar</w:t>
            </w:r>
          </w:p>
        </w:tc>
      </w:tr>
      <w:tr>
        <w:tc>
          <w:tcPr>
            <w:tcW w:type="dxa" w:w="4320"/>
            <w:vAlign w:val="top"/>
          </w:tcPr>
          <w:p>
            <w:r>
              <w:t>Crear cotización</w:t>
            </w:r>
          </w:p>
        </w:tc>
        <w:tc>
          <w:tcPr>
            <w:tcW w:type="dxa" w:w="2880"/>
            <w:vAlign w:val="top"/>
          </w:tcPr>
          <w:p>
            <w:r>
              <w:t>Escritura</w:t>
            </w:r>
          </w:p>
        </w:tc>
        <w:tc>
          <w:tcPr>
            <w:tcW w:type="dxa" w:w="3312"/>
            <w:vAlign w:val="top"/>
          </w:tcPr>
          <w:p>
            <w:r>
              <w:t>Validar si aplica al MVP</w:t>
            </w:r>
          </w:p>
        </w:tc>
      </w:tr>
      <w:tr>
        <w:tc>
          <w:tcPr>
            <w:tcW w:type="dxa" w:w="4320"/>
            <w:vAlign w:val="top"/>
          </w:tcPr>
          <w:p>
            <w:r>
              <w:t>Convertir cotización a factura</w:t>
            </w:r>
          </w:p>
        </w:tc>
        <w:tc>
          <w:tcPr>
            <w:tcW w:type="dxa" w:w="2880"/>
            <w:vAlign w:val="top"/>
          </w:tcPr>
          <w:p>
            <w:r>
              <w:t>Escritura fiscal</w:t>
            </w:r>
          </w:p>
        </w:tc>
        <w:tc>
          <w:tcPr>
            <w:tcW w:type="dxa" w:w="3312"/>
            <w:vAlign w:val="top"/>
          </w:tcPr>
          <w:p>
            <w:r>
              <w:t>No prometer hasta validar</w:t>
            </w:r>
          </w:p>
        </w:tc>
      </w:tr>
      <w:tr>
        <w:tc>
          <w:tcPr>
            <w:tcW w:type="dxa" w:w="4320"/>
            <w:vAlign w:val="top"/>
          </w:tcPr>
          <w:p>
            <w:r>
              <w:t>Registrar pago</w:t>
            </w:r>
          </w:p>
        </w:tc>
        <w:tc>
          <w:tcPr>
            <w:tcW w:type="dxa" w:w="2880"/>
            <w:vAlign w:val="top"/>
          </w:tcPr>
          <w:p>
            <w:r>
              <w:t>Escritura contable/financiera</w:t>
            </w:r>
          </w:p>
        </w:tc>
        <w:tc>
          <w:tcPr>
            <w:tcW w:type="dxa" w:w="3312"/>
            <w:vAlign w:val="top"/>
          </w:tcPr>
          <w:p>
            <w:r>
              <w:t>Recomendada para fase posterior</w:t>
            </w:r>
          </w:p>
        </w:tc>
      </w:tr>
      <w:tr>
        <w:tc>
          <w:tcPr>
            <w:tcW w:type="dxa" w:w="4320"/>
            <w:vAlign w:val="top"/>
          </w:tcPr>
          <w:p>
            <w:r>
              <w:t>Cancelar/modificar factura</w:t>
            </w:r>
          </w:p>
        </w:tc>
        <w:tc>
          <w:tcPr>
            <w:tcW w:type="dxa" w:w="2880"/>
            <w:vAlign w:val="top"/>
          </w:tcPr>
          <w:p>
            <w:r>
              <w:t>Escritura fiscal</w:t>
            </w:r>
          </w:p>
        </w:tc>
        <w:tc>
          <w:tcPr>
            <w:tcW w:type="dxa" w:w="3312"/>
            <w:vAlign w:val="top"/>
          </w:tcPr>
          <w:p>
            <w:r>
              <w:t>Fuera de MVP salvo acuerdo explícito</w:t>
            </w:r>
          </w:p>
        </w:tc>
      </w:tr>
    </w:tbl>
    <w:p/>
    <w:p>
      <w:pPr>
        <w:pStyle w:val="Heading1"/>
      </w:pPr>
      <w:r>
        <w:t>4. Modelo de datos mínimo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304"/>
            <w:shd w:fill="1F4E79"/>
            <w:vAlign w:val="center"/>
          </w:tcPr>
          <w:p>
            <w:r>
              <w:rPr>
                <w:color w:val="FFFFFF"/>
              </w:rPr>
              <w:t>Entidad</w:t>
            </w:r>
          </w:p>
        </w:tc>
        <w:tc>
          <w:tcPr>
            <w:tcW w:type="dxa" w:w="8208"/>
            <w:shd w:fill="1F4E79"/>
            <w:vAlign w:val="center"/>
          </w:tcPr>
          <w:p>
            <w:r>
              <w:rPr>
                <w:color w:val="FFFFFF"/>
              </w:rPr>
              <w:t>Campos mínimos sugeridos</w:t>
            </w:r>
          </w:p>
        </w:tc>
      </w:tr>
      <w:tr>
        <w:tc>
          <w:tcPr>
            <w:tcW w:type="dxa" w:w="2304"/>
            <w:vAlign w:val="top"/>
          </w:tcPr>
          <w:p>
            <w:r>
              <w:t>Cliente</w:t>
            </w:r>
          </w:p>
        </w:tc>
        <w:tc>
          <w:tcPr>
            <w:tcW w:type="dxa" w:w="8208"/>
            <w:vAlign w:val="top"/>
          </w:tcPr>
          <w:p>
            <w:r>
              <w:t>ID BIND, nombre, RFC/tax ID, país, moneda preferida, contacto cobranza, condición de pago, flag de excepción.</w:t>
            </w:r>
          </w:p>
        </w:tc>
      </w:tr>
      <w:tr>
        <w:tc>
          <w:tcPr>
            <w:tcW w:type="dxa" w:w="2304"/>
            <w:vAlign w:val="top"/>
          </w:tcPr>
          <w:p>
            <w:r>
              <w:t>Factura</w:t>
            </w:r>
          </w:p>
        </w:tc>
        <w:tc>
          <w:tcPr>
            <w:tcW w:type="dxa" w:w="8208"/>
            <w:vAlign w:val="top"/>
          </w:tcPr>
          <w:p>
            <w:r>
              <w:t>ID BIND, folio, UUID si aplica, cliente, fecha emisión, fecha vencimiento, moneda, subtotal, impuestos, total, saldo, estado.</w:t>
            </w:r>
          </w:p>
        </w:tc>
      </w:tr>
      <w:tr>
        <w:tc>
          <w:tcPr>
            <w:tcW w:type="dxa" w:w="2304"/>
            <w:vAlign w:val="top"/>
          </w:tcPr>
          <w:p>
            <w:r>
              <w:t>Cobranza</w:t>
            </w:r>
          </w:p>
        </w:tc>
        <w:tc>
          <w:tcPr>
            <w:tcW w:type="dxa" w:w="8208"/>
            <w:vAlign w:val="top"/>
          </w:tcPr>
          <w:p>
            <w:r>
              <w:t>Factura, responsable, estatus de gestión, última acción, próximo seguimiento, notas, template enviado/no enviado.</w:t>
            </w:r>
          </w:p>
        </w:tc>
      </w:tr>
      <w:tr>
        <w:tc>
          <w:tcPr>
            <w:tcW w:type="dxa" w:w="2304"/>
            <w:vAlign w:val="top"/>
          </w:tcPr>
          <w:p>
            <w:r>
              <w:t>Alerta</w:t>
            </w:r>
          </w:p>
        </w:tc>
        <w:tc>
          <w:tcPr>
            <w:tcW w:type="dxa" w:w="8208"/>
            <w:vAlign w:val="top"/>
          </w:tcPr>
          <w:p>
            <w:r>
              <w:t>Tipo, factura, fecha programada, fecha enviada, canal, destinatario, resultado, motivo de omisión.</w:t>
            </w:r>
          </w:p>
        </w:tc>
      </w:tr>
      <w:tr>
        <w:tc>
          <w:tcPr>
            <w:tcW w:type="dxa" w:w="2304"/>
            <w:vAlign w:val="top"/>
          </w:tcPr>
          <w:p>
            <w:r>
              <w:t>Usuario</w:t>
            </w:r>
          </w:p>
        </w:tc>
        <w:tc>
          <w:tcPr>
            <w:tcW w:type="dxa" w:w="8208"/>
            <w:vAlign w:val="top"/>
          </w:tcPr>
          <w:p>
            <w:r>
              <w:t>Nombre, correo, rol, permisos, estado.</w:t>
            </w:r>
          </w:p>
        </w:tc>
      </w:tr>
      <w:tr>
        <w:tc>
          <w:tcPr>
            <w:tcW w:type="dxa" w:w="2304"/>
            <w:vAlign w:val="top"/>
          </w:tcPr>
          <w:p>
            <w:r>
              <w:t>Bitácora</w:t>
            </w:r>
          </w:p>
        </w:tc>
        <w:tc>
          <w:tcPr>
            <w:tcW w:type="dxa" w:w="8208"/>
            <w:vAlign w:val="top"/>
          </w:tcPr>
          <w:p>
            <w:r>
              <w:t>Fecha, usuario/proceso, acción, entidad, resultado, metadata técnica.</w:t>
            </w:r>
          </w:p>
        </w:tc>
      </w:tr>
      <w:tr>
        <w:tc>
          <w:tcPr>
            <w:tcW w:type="dxa" w:w="2304"/>
            <w:vAlign w:val="top"/>
          </w:tcPr>
          <w:p>
            <w:r>
              <w:t>Configuración</w:t>
            </w:r>
          </w:p>
        </w:tc>
        <w:tc>
          <w:tcPr>
            <w:tcW w:type="dxa" w:w="8208"/>
            <w:vAlign w:val="top"/>
          </w:tcPr>
          <w:p>
            <w:r>
              <w:t>Días de alerta, lista de excepción, horarios de ejecución, frecuencia de reportes, destinatarios.</w:t>
            </w:r>
          </w:p>
        </w:tc>
      </w:tr>
    </w:tbl>
    <w:p/>
    <w:p>
      <w:pPr>
        <w:pStyle w:val="Heading1"/>
      </w:pPr>
      <w:r>
        <w:t>5. Agentes operativos propuestos para Fase 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3168"/>
            <w:shd w:fill="1F4E79"/>
            <w:vAlign w:val="center"/>
          </w:tcPr>
          <w:p>
            <w:r>
              <w:rPr>
                <w:color w:val="FFFFFF"/>
              </w:rPr>
              <w:t>Agente</w:t>
            </w:r>
          </w:p>
        </w:tc>
        <w:tc>
          <w:tcPr>
            <w:tcW w:type="dxa" w:w="4320"/>
            <w:shd w:fill="1F4E79"/>
            <w:vAlign w:val="center"/>
          </w:tcPr>
          <w:p>
            <w:r>
              <w:rPr>
                <w:color w:val="FFFFFF"/>
              </w:rPr>
              <w:t>Función</w:t>
            </w:r>
          </w:p>
        </w:tc>
        <w:tc>
          <w:tcPr>
            <w:tcW w:type="dxa" w:w="3024"/>
            <w:shd w:fill="1F4E79"/>
            <w:vAlign w:val="center"/>
          </w:tcPr>
          <w:p>
            <w:r>
              <w:rPr>
                <w:color w:val="FFFFFF"/>
              </w:rPr>
              <w:t>Acciones permitidas</w:t>
            </w:r>
          </w:p>
        </w:tc>
      </w:tr>
      <w:tr>
        <w:tc>
          <w:tcPr>
            <w:tcW w:type="dxa" w:w="3168"/>
            <w:vAlign w:val="top"/>
          </w:tcPr>
          <w:p>
            <w:r>
              <w:t>Agente de sincronización BIND</w:t>
            </w:r>
          </w:p>
        </w:tc>
        <w:tc>
          <w:tcPr>
            <w:tcW w:type="dxa" w:w="4320"/>
            <w:vAlign w:val="top"/>
          </w:tcPr>
          <w:p>
            <w:r>
              <w:t>Consulta BIND en horarios definidos y actualiza base local.</w:t>
            </w:r>
          </w:p>
        </w:tc>
        <w:tc>
          <w:tcPr>
            <w:tcW w:type="dxa" w:w="3024"/>
            <w:vAlign w:val="top"/>
          </w:tcPr>
          <w:p>
            <w:r>
              <w:t>Lectura, normalización, bitácora.</w:t>
            </w:r>
          </w:p>
        </w:tc>
      </w:tr>
      <w:tr>
        <w:tc>
          <w:tcPr>
            <w:tcW w:type="dxa" w:w="3168"/>
            <w:vAlign w:val="top"/>
          </w:tcPr>
          <w:p>
            <w:r>
              <w:t>Agente de vencimientos</w:t>
            </w:r>
          </w:p>
        </w:tc>
        <w:tc>
          <w:tcPr>
            <w:tcW w:type="dxa" w:w="4320"/>
            <w:vAlign w:val="top"/>
          </w:tcPr>
          <w:p>
            <w:r>
              <w:t>Detecta facturas por vencer, vencidas y sin datos completos.</w:t>
            </w:r>
          </w:p>
        </w:tc>
        <w:tc>
          <w:tcPr>
            <w:tcW w:type="dxa" w:w="3024"/>
            <w:vAlign w:val="top"/>
          </w:tcPr>
          <w:p>
            <w:r>
              <w:t>Crear alertas internas, marcar prioridad.</w:t>
            </w:r>
          </w:p>
        </w:tc>
      </w:tr>
      <w:tr>
        <w:tc>
          <w:tcPr>
            <w:tcW w:type="dxa" w:w="3168"/>
            <w:vAlign w:val="top"/>
          </w:tcPr>
          <w:p>
            <w:r>
              <w:t>Agente de cobranza asistida</w:t>
            </w:r>
          </w:p>
        </w:tc>
        <w:tc>
          <w:tcPr>
            <w:tcW w:type="dxa" w:w="4320"/>
            <w:vAlign w:val="top"/>
          </w:tcPr>
          <w:p>
            <w:r>
              <w:t>Prepara templates y lista de seguimiento para finanzas.</w:t>
            </w:r>
          </w:p>
        </w:tc>
        <w:tc>
          <w:tcPr>
            <w:tcW w:type="dxa" w:w="3024"/>
            <w:vAlign w:val="top"/>
          </w:tcPr>
          <w:p>
            <w:r>
              <w:t>Sugerir envío; no enviar a clientes estratégicos sin revisión humana.</w:t>
            </w:r>
          </w:p>
        </w:tc>
      </w:tr>
      <w:tr>
        <w:tc>
          <w:tcPr>
            <w:tcW w:type="dxa" w:w="3168"/>
            <w:vAlign w:val="top"/>
          </w:tcPr>
          <w:p>
            <w:r>
              <w:t>Agente de reportes</w:t>
            </w:r>
          </w:p>
        </w:tc>
        <w:tc>
          <w:tcPr>
            <w:tcW w:type="dxa" w:w="4320"/>
            <w:vAlign w:val="top"/>
          </w:tcPr>
          <w:p>
            <w:r>
              <w:t>Genera resumen diario/semanal para dirección y finanzas.</w:t>
            </w:r>
          </w:p>
        </w:tc>
        <w:tc>
          <w:tcPr>
            <w:tcW w:type="dxa" w:w="3024"/>
            <w:vAlign w:val="top"/>
          </w:tcPr>
          <w:p>
            <w:r>
              <w:t>Exportar y notificar internamente.</w:t>
            </w:r>
          </w:p>
        </w:tc>
      </w:tr>
    </w:tbl>
    <w:p/>
    <w:p>
      <w:pPr>
        <w:pStyle w:val="Heading1"/>
      </w:pPr>
      <w:r>
        <w:t>6. Integraciones futuras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016"/>
            <w:shd w:fill="1F4E79"/>
            <w:vAlign w:val="center"/>
          </w:tcPr>
          <w:p>
            <w:r>
              <w:rPr>
                <w:color w:val="FFFFFF"/>
              </w:rPr>
              <w:t>Sistema</w:t>
            </w:r>
          </w:p>
        </w:tc>
        <w:tc>
          <w:tcPr>
            <w:tcW w:type="dxa" w:w="6336"/>
            <w:shd w:fill="1F4E79"/>
            <w:vAlign w:val="center"/>
          </w:tcPr>
          <w:p>
            <w:r>
              <w:rPr>
                <w:color w:val="FFFFFF"/>
              </w:rPr>
              <w:t>Uso potencial</w:t>
            </w:r>
          </w:p>
        </w:tc>
        <w:tc>
          <w:tcPr>
            <w:tcW w:type="dxa" w:w="2160"/>
            <w:shd w:fill="1F4E79"/>
            <w:vAlign w:val="center"/>
          </w:tcPr>
          <w:p>
            <w:r>
              <w:rPr>
                <w:color w:val="FFFFFF"/>
              </w:rPr>
              <w:t>Fase sugerida</w:t>
            </w:r>
          </w:p>
        </w:tc>
      </w:tr>
      <w:tr>
        <w:tc>
          <w:tcPr>
            <w:tcW w:type="dxa" w:w="2016"/>
            <w:vAlign w:val="top"/>
          </w:tcPr>
          <w:p>
            <w:r>
              <w:t>BUK</w:t>
            </w:r>
          </w:p>
        </w:tc>
        <w:tc>
          <w:tcPr>
            <w:tcW w:type="dxa" w:w="6336"/>
            <w:vAlign w:val="top"/>
          </w:tcPr>
          <w:p>
            <w:r>
              <w:t>Nómina, colaboradores, pagos relacionados y datos para facturación según operación real.</w:t>
            </w:r>
          </w:p>
        </w:tc>
        <w:tc>
          <w:tcPr>
            <w:tcW w:type="dxa" w:w="2160"/>
            <w:vAlign w:val="top"/>
          </w:tcPr>
          <w:p>
            <w:r>
              <w:t>Fase 3 o posterior; API ya reportada como disponible.</w:t>
            </w:r>
          </w:p>
        </w:tc>
      </w:tr>
      <w:tr>
        <w:tc>
          <w:tcPr>
            <w:tcW w:type="dxa" w:w="2016"/>
            <w:vAlign w:val="top"/>
          </w:tcPr>
          <w:p>
            <w:r>
              <w:t>Bancos</w:t>
            </w:r>
          </w:p>
        </w:tc>
        <w:tc>
          <w:tcPr>
            <w:tcW w:type="dxa" w:w="6336"/>
            <w:vAlign w:val="top"/>
          </w:tcPr>
          <w:p>
            <w:r>
              <w:t>Estados de cuenta, conciliación, pagos, egresos y anomalías.</w:t>
            </w:r>
          </w:p>
        </w:tc>
        <w:tc>
          <w:tcPr>
            <w:tcW w:type="dxa" w:w="2160"/>
            <w:vAlign w:val="top"/>
          </w:tcPr>
          <w:p>
            <w:r>
              <w:t>Fase 2 con carga de archivos o API si disponible.</w:t>
            </w:r>
          </w:p>
        </w:tc>
      </w:tr>
      <w:tr>
        <w:tc>
          <w:tcPr>
            <w:tcW w:type="dxa" w:w="2016"/>
            <w:vAlign w:val="top"/>
          </w:tcPr>
          <w:p>
            <w:r>
              <w:t>Book</w:t>
            </w:r>
          </w:p>
        </w:tc>
        <w:tc>
          <w:tcPr>
            <w:tcW w:type="dxa" w:w="6336"/>
            <w:vAlign w:val="top"/>
          </w:tcPr>
          <w:p>
            <w:r>
              <w:t>Validar si contiene datos operativos/financieros requeridos.</w:t>
            </w:r>
          </w:p>
        </w:tc>
        <w:tc>
          <w:tcPr>
            <w:tcW w:type="dxa" w:w="2160"/>
            <w:vAlign w:val="top"/>
          </w:tcPr>
          <w:p>
            <w:r>
              <w:t>Fase posterior tras confirmar API o exportaciones.</w:t>
            </w:r>
          </w:p>
        </w:tc>
      </w:tr>
      <w:tr>
        <w:tc>
          <w:tcPr>
            <w:tcW w:type="dxa" w:w="2016"/>
            <w:vAlign w:val="top"/>
          </w:tcPr>
          <w:p>
            <w:r>
              <w:t>Jira</w:t>
            </w:r>
          </w:p>
        </w:tc>
        <w:tc>
          <w:tcPr>
            <w:tcW w:type="dxa" w:w="6336"/>
            <w:vAlign w:val="top"/>
          </w:tcPr>
          <w:p>
            <w:r>
              <w:t>Solo si se requiere conectar proyectos/servicios con facturación.</w:t>
            </w:r>
          </w:p>
        </w:tc>
        <w:tc>
          <w:tcPr>
            <w:tcW w:type="dxa" w:w="2160"/>
            <w:vAlign w:val="top"/>
          </w:tcPr>
          <w:p>
            <w:r>
              <w:t>Fase posterior; no crítico para MVP financiero.</w:t>
            </w:r>
          </w:p>
        </w:tc>
      </w:tr>
      <w:tr>
        <w:tc>
          <w:tcPr>
            <w:tcW w:type="dxa" w:w="2016"/>
            <w:vAlign w:val="top"/>
          </w:tcPr>
          <w:p>
            <w:r>
              <w:t>IA/LLM</w:t>
            </w:r>
          </w:p>
        </w:tc>
        <w:tc>
          <w:tcPr>
            <w:tcW w:type="dxa" w:w="6336"/>
            <w:vAlign w:val="top"/>
          </w:tcPr>
          <w:p>
            <w:r>
              <w:t>Anomalías, clasificación, priorización y explicación de conciliaciones.</w:t>
            </w:r>
          </w:p>
        </w:tc>
        <w:tc>
          <w:tcPr>
            <w:tcW w:type="dxa" w:w="2160"/>
            <w:vAlign w:val="top"/>
          </w:tcPr>
          <w:p>
            <w:r>
              <w:t>Después de tener datos históricos confiables.</w:t>
            </w:r>
          </w:p>
        </w:tc>
      </w:tr>
    </w:tbl>
    <w:p/>
    <w:p>
      <w:pPr>
        <w:pStyle w:val="Heading1"/>
      </w:pPr>
      <w:r>
        <w:t>7. Seguridad y cumplimiento</w:t>
      </w:r>
    </w:p>
    <w:p>
      <w:pPr>
        <w:pStyle w:val="ListBullet"/>
      </w:pPr>
      <w:r>
        <w:t>API keys y secretos almacenados en variables de entorno o gestor de secretos, nunca en frontend ni repositorios públicos.</w:t>
      </w:r>
    </w:p>
    <w:p>
      <w:pPr>
        <w:pStyle w:val="ListBullet"/>
      </w:pPr>
      <w:r>
        <w:t>Control de acceso por roles.</w:t>
      </w:r>
    </w:p>
    <w:p>
      <w:pPr>
        <w:pStyle w:val="ListBullet"/>
      </w:pPr>
      <w:r>
        <w:t>Bitácora de acciones críticas.</w:t>
      </w:r>
    </w:p>
    <w:p>
      <w:pPr>
        <w:pStyle w:val="ListBullet"/>
      </w:pPr>
      <w:r>
        <w:t>Cifrado en tránsito mediante HTTPS.</w:t>
      </w:r>
    </w:p>
    <w:p>
      <w:pPr>
        <w:pStyle w:val="ListBullet"/>
      </w:pPr>
      <w:r>
        <w:t>Separación de configuración por ambiente.</w:t>
      </w:r>
    </w:p>
    <w:p>
      <w:pPr>
        <w:pStyle w:val="ListBullet"/>
      </w:pPr>
      <w:r>
        <w:t>Mínimo privilegio para usuarios/API keys.</w:t>
      </w:r>
    </w:p>
    <w:p>
      <w:pPr>
        <w:pStyle w:val="ListBullet"/>
      </w:pPr>
      <w:r>
        <w:t>No modificar registros fiscales en producción sin autorización explícita.</w:t>
      </w:r>
    </w:p>
    <w:p>
      <w:pPr>
        <w:pStyle w:val="Heading1"/>
      </w:pPr>
      <w:r>
        <w:t>8. Riesgos técnicos y mitigación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4608"/>
            <w:shd w:fill="1F4E79"/>
            <w:vAlign w:val="center"/>
          </w:tcPr>
          <w:p>
            <w:r>
              <w:rPr>
                <w:color w:val="FFFFFF"/>
              </w:rPr>
              <w:t>Riesgo</w:t>
            </w:r>
          </w:p>
        </w:tc>
        <w:tc>
          <w:tcPr>
            <w:tcW w:type="dxa" w:w="5904"/>
            <w:shd w:fill="1F4E79"/>
            <w:vAlign w:val="center"/>
          </w:tcPr>
          <w:p>
            <w:r>
              <w:rPr>
                <w:color w:val="FFFFFF"/>
              </w:rPr>
              <w:t>Mitigación</w:t>
            </w:r>
          </w:p>
        </w:tc>
      </w:tr>
      <w:tr>
        <w:tc>
          <w:tcPr>
            <w:tcW w:type="dxa" w:w="4608"/>
            <w:vAlign w:val="top"/>
          </w:tcPr>
          <w:p>
            <w:r>
              <w:t>API BIND no permite alguna operación esperada</w:t>
            </w:r>
          </w:p>
        </w:tc>
        <w:tc>
          <w:tcPr>
            <w:tcW w:type="dxa" w:w="5904"/>
            <w:vAlign w:val="top"/>
          </w:tcPr>
          <w:p>
            <w:r>
              <w:t>Diseñar flujo asistido y documentar operación manual dentro de BIND.</w:t>
            </w:r>
          </w:p>
        </w:tc>
      </w:tr>
      <w:tr>
        <w:tc>
          <w:tcPr>
            <w:tcW w:type="dxa" w:w="4608"/>
            <w:vAlign w:val="top"/>
          </w:tcPr>
          <w:p>
            <w:r>
              <w:t>Sin sandbox disponible</w:t>
            </w:r>
          </w:p>
        </w:tc>
        <w:tc>
          <w:tcPr>
            <w:tcW w:type="dxa" w:w="5904"/>
            <w:vAlign w:val="top"/>
          </w:tcPr>
          <w:p>
            <w:r>
              <w:t>Modo lectura, registros controlados, flags, logs y aprobaciones antes de escritura.</w:t>
            </w:r>
          </w:p>
        </w:tc>
      </w:tr>
      <w:tr>
        <w:tc>
          <w:tcPr>
            <w:tcW w:type="dxa" w:w="4608"/>
            <w:vAlign w:val="top"/>
          </w:tcPr>
          <w:p>
            <w:r>
              <w:t>Datos incompletos o inconsistentes</w:t>
            </w:r>
          </w:p>
        </w:tc>
        <w:tc>
          <w:tcPr>
            <w:tcW w:type="dxa" w:w="5904"/>
            <w:vAlign w:val="top"/>
          </w:tcPr>
          <w:p>
            <w:r>
              <w:t>Normalización, campos requeridos, validaciones y bandeja de excepciones.</w:t>
            </w:r>
          </w:p>
        </w:tc>
      </w:tr>
      <w:tr>
        <w:tc>
          <w:tcPr>
            <w:tcW w:type="dxa" w:w="4608"/>
            <w:vAlign w:val="top"/>
          </w:tcPr>
          <w:p>
            <w:r>
              <w:t>Alcance crece hacia bancos/contabilidad</w:t>
            </w:r>
          </w:p>
        </w:tc>
        <w:tc>
          <w:tcPr>
            <w:tcW w:type="dxa" w:w="5904"/>
            <w:vAlign w:val="top"/>
          </w:tcPr>
          <w:p>
            <w:r>
              <w:t>Fasear el proyecto y usar control de cambios.</w:t>
            </w:r>
          </w:p>
        </w:tc>
      </w:tr>
      <w:tr>
        <w:tc>
          <w:tcPr>
            <w:tcW w:type="dxa" w:w="4608"/>
            <w:vAlign w:val="top"/>
          </w:tcPr>
          <w:p>
            <w:r>
              <w:t>Reglas fiscales/contables ambiguas</w:t>
            </w:r>
          </w:p>
        </w:tc>
        <w:tc>
          <w:tcPr>
            <w:tcW w:type="dxa" w:w="5904"/>
            <w:vAlign w:val="top"/>
          </w:tcPr>
          <w:p>
            <w:r>
              <w:t>Validación por Balam/contador antes de automatizar acciones.</w:t>
            </w:r>
          </w:p>
        </w:tc>
      </w:tr>
      <w:tr>
        <w:tc>
          <w:tcPr>
            <w:tcW w:type="dxa" w:w="4608"/>
            <w:vAlign w:val="top"/>
          </w:tcPr>
          <w:p>
            <w:r>
              <w:t>BUK no es prioridad pero se menciona</w:t>
            </w:r>
          </w:p>
        </w:tc>
        <w:tc>
          <w:tcPr>
            <w:tcW w:type="dxa" w:w="5904"/>
            <w:vAlign w:val="top"/>
          </w:tcPr>
          <w:p>
            <w:r>
              <w:t>Documentarlo como integración futura sin bloquear MVP.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right"/>
    </w:pPr>
    <w:r/>
    <w:r>
      <w:t xml:space="preserve">Página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t>Balam · Anexo técnico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rPr>
      <w:rFonts w:ascii="Aptos" w:hAnsi="Aptos"/>
      <w:color w:val="5A5A5A"/>
      <w:sz w:val="17"/>
    </w:rPr>
  </w:style>
  <w:style w:type="paragraph" w:customStyle="1" w:styleId="Callout">
    <w:name w:val="Callout"/>
    <w:rPr>
      <w:rFonts w:ascii="Aptos" w:hAnsi="Aptos"/>
      <w:i/>
      <w:color w:val="444444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Anexo Tecnico Integraciones Discovery Balam</dc:title>
  <dc:subject/>
  <dc:creator>Johann Velazquez</dc:creator>
  <cp:keywords/>
  <dc:description>Documento generado como base editable para propuesta Balam.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