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Balam</w:t>
      </w:r>
    </w:p>
    <w:p>
      <w:pPr>
        <w:jc w:val="center"/>
      </w:pPr>
      <w:r>
        <w:rPr>
          <w:b/>
          <w:color w:val="1F4E79"/>
          <w:sz w:val="40"/>
        </w:rPr>
        <w:t>Checklist de accesos, datos y decisiones</w:t>
      </w:r>
    </w:p>
    <w:p>
      <w:pPr>
        <w:jc w:val="center"/>
      </w:pPr>
      <w:r>
        <w:rPr>
          <w:color w:val="505050"/>
          <w:sz w:val="24"/>
        </w:rPr>
        <w:t>Para iniciar discovery y desarrollo del MVP BIND-first</w:t>
      </w:r>
    </w:p>
    <w:p>
      <w:pPr>
        <w:jc w:val="center"/>
      </w:pPr>
      <w:r>
        <w:rPr>
          <w:b/>
        </w:rPr>
        <w:t>Preparado para: Noe Rocha, Erika Chávez, Araceli Sánchez Jiménez y Pedro Alberto Ayala Elizondo</w:t>
        <w:br/>
      </w:r>
      <w:r>
        <w:t>Preparado por: Johann Velazquez</w:t>
        <w:br/>
        <w:t>Fecha: 27 de mayo de 2026</w:t>
      </w:r>
    </w:p>
    <w:p>
      <w:pPr>
        <w:pStyle w:val="Callout"/>
      </w:pPr>
      <w:r>
        <w:t>Versión editable para revisión. Los montos comerciales deben ser completados por Johann antes de enviar al cliente.</w:t>
      </w:r>
    </w:p>
    <w:p>
      <w:r>
        <w:br w:type="page"/>
      </w:r>
    </w:p>
    <w:p>
      <w:pPr>
        <w:pStyle w:val="Heading1"/>
      </w:pPr>
      <w:r>
        <w:t>1. Objetivo</w:t>
      </w:r>
    </w:p>
    <w:p>
      <w:r>
        <w:t>Este checklist permite a Balam preparar la información necesaria para iniciar el discovery técnico y reducir tiempos de desarrollo. Puede enviarse a Pedro, Erika y Noe como lista práctica de pendientes.</w:t>
      </w:r>
    </w:p>
    <w:p>
      <w:pPr>
        <w:pStyle w:val="Heading1"/>
      </w:pPr>
      <w:r>
        <w:t>2. Accesos técnicos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3456"/>
            <w:shd w:fill="1F4E79"/>
            <w:vAlign w:val="center"/>
          </w:tcPr>
          <w:p>
            <w:r>
              <w:rPr>
                <w:color w:val="FFFFFF"/>
              </w:rPr>
              <w:t>Elemento</w:t>
            </w:r>
          </w:p>
        </w:tc>
        <w:tc>
          <w:tcPr>
            <w:tcW w:type="dxa" w:w="2016"/>
            <w:shd w:fill="1F4E79"/>
            <w:vAlign w:val="center"/>
          </w:tcPr>
          <w:p>
            <w:r>
              <w:rPr>
                <w:color w:val="FFFFFF"/>
              </w:rPr>
              <w:t>Responsable sugerido</w:t>
            </w:r>
          </w:p>
        </w:tc>
        <w:tc>
          <w:tcPr>
            <w:tcW w:type="dxa" w:w="1440"/>
            <w:shd w:fill="1F4E79"/>
            <w:vAlign w:val="center"/>
          </w:tcPr>
          <w:p>
            <w:r>
              <w:rPr>
                <w:color w:val="FFFFFF"/>
              </w:rPr>
              <w:t>Estado</w:t>
            </w:r>
          </w:p>
        </w:tc>
        <w:tc>
          <w:tcPr>
            <w:tcW w:type="dxa" w:w="3600"/>
            <w:shd w:fill="1F4E79"/>
            <w:vAlign w:val="center"/>
          </w:tcPr>
          <w:p>
            <w:r>
              <w:rPr>
                <w:color w:val="FFFFFF"/>
              </w:rPr>
              <w:t>Notas</w:t>
            </w:r>
          </w:p>
        </w:tc>
      </w:tr>
      <w:tr>
        <w:tc>
          <w:tcPr>
            <w:tcW w:type="dxa" w:w="3456"/>
            <w:vAlign w:val="top"/>
          </w:tcPr>
          <w:p>
            <w:r>
              <w:t>API key/token de BIND con permisos definidos</w:t>
            </w:r>
          </w:p>
        </w:tc>
        <w:tc>
          <w:tcPr>
            <w:tcW w:type="dxa" w:w="2016"/>
            <w:vAlign w:val="top"/>
          </w:tcPr>
          <w:p>
            <w:r>
              <w:t>Pedro / Noe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Idealmente lectura primero. Confirmar límites y permisos.</w:t>
            </w:r>
          </w:p>
        </w:tc>
      </w:tr>
      <w:tr>
        <w:tc>
          <w:tcPr>
            <w:tcW w:type="dxa" w:w="3456"/>
            <w:vAlign w:val="top"/>
          </w:tcPr>
          <w:p>
            <w:r>
              <w:t>Documentación API BIND aplicable al plan de Balam</w:t>
            </w:r>
          </w:p>
        </w:tc>
        <w:tc>
          <w:tcPr>
            <w:tcW w:type="dxa" w:w="2016"/>
            <w:vAlign w:val="top"/>
          </w:tcPr>
          <w:p>
            <w:r>
              <w:t>Pedro / Noe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Endpoints de clientes, facturas, cotizaciones, pagos, PDF/XML.</w:t>
            </w:r>
          </w:p>
        </w:tc>
      </w:tr>
      <w:tr>
        <w:tc>
          <w:tcPr>
            <w:tcW w:type="dxa" w:w="3456"/>
            <w:vAlign w:val="top"/>
          </w:tcPr>
          <w:p>
            <w:r>
              <w:t>Usuario de prueba o acceso controlado a BIND</w:t>
            </w:r>
          </w:p>
        </w:tc>
        <w:tc>
          <w:tcPr>
            <w:tcW w:type="dxa" w:w="2016"/>
            <w:vAlign w:val="top"/>
          </w:tcPr>
          <w:p>
            <w:r>
              <w:t>Pedro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Solo si no hay sandbox.</w:t>
            </w:r>
          </w:p>
        </w:tc>
      </w:tr>
      <w:tr>
        <w:tc>
          <w:tcPr>
            <w:tcW w:type="dxa" w:w="3456"/>
            <w:vAlign w:val="top"/>
          </w:tcPr>
          <w:p>
            <w:r>
              <w:t>Ambiente de despliegue o preferencia Azure</w:t>
            </w:r>
          </w:p>
        </w:tc>
        <w:tc>
          <w:tcPr>
            <w:tcW w:type="dxa" w:w="2016"/>
            <w:vAlign w:val="top"/>
          </w:tcPr>
          <w:p>
            <w:r>
              <w:t>Noe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Confirmar suscripción, región y políticas.</w:t>
            </w:r>
          </w:p>
        </w:tc>
      </w:tr>
      <w:tr>
        <w:tc>
          <w:tcPr>
            <w:tcW w:type="dxa" w:w="3456"/>
            <w:vAlign w:val="top"/>
          </w:tcPr>
          <w:p>
            <w:r>
              <w:t>Repositorio o mecanismo de entrega de código</w:t>
            </w:r>
          </w:p>
        </w:tc>
        <w:tc>
          <w:tcPr>
            <w:tcW w:type="dxa" w:w="2016"/>
            <w:vAlign w:val="top"/>
          </w:tcPr>
          <w:p>
            <w:r>
              <w:t>Johann / Noe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GitHub/GitLab/Azure DevOps u otro.</w:t>
            </w:r>
          </w:p>
        </w:tc>
      </w:tr>
      <w:tr>
        <w:tc>
          <w:tcPr>
            <w:tcW w:type="dxa" w:w="3456"/>
            <w:vAlign w:val="top"/>
          </w:tcPr>
          <w:p>
            <w:r>
              <w:t>Cuenta de correo para alertas internas</w:t>
            </w:r>
          </w:p>
        </w:tc>
        <w:tc>
          <w:tcPr>
            <w:tcW w:type="dxa" w:w="2016"/>
            <w:vAlign w:val="top"/>
          </w:tcPr>
          <w:p>
            <w:r>
              <w:t>Erika / Pedro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SMTP/Microsoft 365/Google Workspace u opción transaccional.</w:t>
            </w:r>
          </w:p>
        </w:tc>
      </w:tr>
    </w:tbl>
    <w:p/>
    <w:p>
      <w:pPr>
        <w:pStyle w:val="Heading1"/>
      </w:pPr>
      <w:r>
        <w:t>3. Datos de negocio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3456"/>
            <w:shd w:fill="1F4E79"/>
            <w:vAlign w:val="center"/>
          </w:tcPr>
          <w:p>
            <w:r>
              <w:rPr>
                <w:color w:val="FFFFFF"/>
              </w:rPr>
              <w:t>Dato requerido</w:t>
            </w:r>
          </w:p>
        </w:tc>
        <w:tc>
          <w:tcPr>
            <w:tcW w:type="dxa" w:w="2016"/>
            <w:shd w:fill="1F4E79"/>
            <w:vAlign w:val="center"/>
          </w:tcPr>
          <w:p>
            <w:r>
              <w:rPr>
                <w:color w:val="FFFFFF"/>
              </w:rPr>
              <w:t>Responsable sugerido</w:t>
            </w:r>
          </w:p>
        </w:tc>
        <w:tc>
          <w:tcPr>
            <w:tcW w:type="dxa" w:w="1440"/>
            <w:shd w:fill="1F4E79"/>
            <w:vAlign w:val="center"/>
          </w:tcPr>
          <w:p>
            <w:r>
              <w:rPr>
                <w:color w:val="FFFFFF"/>
              </w:rPr>
              <w:t>Estado</w:t>
            </w:r>
          </w:p>
        </w:tc>
        <w:tc>
          <w:tcPr>
            <w:tcW w:type="dxa" w:w="3600"/>
            <w:shd w:fill="1F4E79"/>
            <w:vAlign w:val="center"/>
          </w:tcPr>
          <w:p>
            <w:r>
              <w:rPr>
                <w:color w:val="FFFFFF"/>
              </w:rPr>
              <w:t>Notas</w:t>
            </w:r>
          </w:p>
        </w:tc>
      </w:tr>
      <w:tr>
        <w:tc>
          <w:tcPr>
            <w:tcW w:type="dxa" w:w="3456"/>
            <w:vAlign w:val="top"/>
          </w:tcPr>
          <w:p>
            <w:r>
              <w:t>Lista de clientes activos</w:t>
            </w:r>
          </w:p>
        </w:tc>
        <w:tc>
          <w:tcPr>
            <w:tcW w:type="dxa" w:w="2016"/>
            <w:vAlign w:val="top"/>
          </w:tcPr>
          <w:p>
            <w:r>
              <w:t>Finanzas / Ara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Nombre, RFC/tax ID, país, moneda, condición de pago.</w:t>
            </w:r>
          </w:p>
        </w:tc>
      </w:tr>
      <w:tr>
        <w:tc>
          <w:tcPr>
            <w:tcW w:type="dxa" w:w="3456"/>
            <w:vAlign w:val="top"/>
          </w:tcPr>
          <w:p>
            <w:r>
              <w:t>Lista de clientes excepción</w:t>
            </w:r>
          </w:p>
        </w:tc>
        <w:tc>
          <w:tcPr>
            <w:tcW w:type="dxa" w:w="2016"/>
            <w:vAlign w:val="top"/>
          </w:tcPr>
          <w:p>
            <w:r>
              <w:t>Ara / Finanzas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ACUNTIA + top 3; confirmar si es configurable.</w:t>
            </w:r>
          </w:p>
        </w:tc>
      </w:tr>
      <w:tr>
        <w:tc>
          <w:tcPr>
            <w:tcW w:type="dxa" w:w="3456"/>
            <w:vAlign w:val="top"/>
          </w:tcPr>
          <w:p>
            <w:r>
              <w:t>Reglas de vencimiento por cliente</w:t>
            </w:r>
          </w:p>
        </w:tc>
        <w:tc>
          <w:tcPr>
            <w:tcW w:type="dxa" w:w="2016"/>
            <w:vAlign w:val="top"/>
          </w:tcPr>
          <w:p>
            <w:r>
              <w:t>Finanzas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Días de crédito, fecha base, casos especiales.</w:t>
            </w:r>
          </w:p>
        </w:tc>
      </w:tr>
      <w:tr>
        <w:tc>
          <w:tcPr>
            <w:tcW w:type="dxa" w:w="3456"/>
            <w:vAlign w:val="top"/>
          </w:tcPr>
          <w:p>
            <w:r>
              <w:t>Plantilla actual de cobranza</w:t>
            </w:r>
          </w:p>
        </w:tc>
        <w:tc>
          <w:tcPr>
            <w:tcW w:type="dxa" w:w="2016"/>
            <w:vAlign w:val="top"/>
          </w:tcPr>
          <w:p>
            <w:r>
              <w:t>Finanzas / Erika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Correo o mensaje usado actualmente.</w:t>
            </w:r>
          </w:p>
        </w:tc>
      </w:tr>
      <w:tr>
        <w:tc>
          <w:tcPr>
            <w:tcW w:type="dxa" w:w="3456"/>
            <w:vAlign w:val="top"/>
          </w:tcPr>
          <w:p>
            <w:r>
              <w:t>Campos esperados en dashboard</w:t>
            </w:r>
          </w:p>
        </w:tc>
        <w:tc>
          <w:tcPr>
            <w:tcW w:type="dxa" w:w="2016"/>
            <w:vAlign w:val="top"/>
          </w:tcPr>
          <w:p>
            <w:r>
              <w:t>Noe / Ara / Finanzas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KPIs directivos y operativos.</w:t>
            </w:r>
          </w:p>
        </w:tc>
      </w:tr>
      <w:tr>
        <w:tc>
          <w:tcPr>
            <w:tcW w:type="dxa" w:w="3456"/>
            <w:vAlign w:val="top"/>
          </w:tcPr>
          <w:p>
            <w:r>
              <w:t>Formato de reporte deseado</w:t>
            </w:r>
          </w:p>
        </w:tc>
        <w:tc>
          <w:tcPr>
            <w:tcW w:type="dxa" w:w="2016"/>
            <w:vAlign w:val="top"/>
          </w:tcPr>
          <w:p>
            <w:r>
              <w:t>Erika / Finanzas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Diario/semanal, CSV/XLSX/PDF, destinatarios.</w:t>
            </w:r>
          </w:p>
        </w:tc>
      </w:tr>
      <w:tr>
        <w:tc>
          <w:tcPr>
            <w:tcW w:type="dxa" w:w="3456"/>
            <w:vAlign w:val="top"/>
          </w:tcPr>
          <w:p>
            <w:r>
              <w:t>Ejemplo de facturas recientes</w:t>
            </w:r>
          </w:p>
        </w:tc>
        <w:tc>
          <w:tcPr>
            <w:tcW w:type="dxa" w:w="2016"/>
            <w:vAlign w:val="top"/>
          </w:tcPr>
          <w:p>
            <w:r>
              <w:t>Pedro / Finanzas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3-5 facturas MXN y USD, con estado pagado/pendiente/vencido.</w:t>
            </w:r>
          </w:p>
        </w:tc>
      </w:tr>
      <w:tr>
        <w:tc>
          <w:tcPr>
            <w:tcW w:type="dxa" w:w="3456"/>
            <w:vAlign w:val="top"/>
          </w:tcPr>
          <w:p>
            <w:r>
              <w:t>Ejemplo de flujo real cotización -&gt; factura</w:t>
            </w:r>
          </w:p>
        </w:tc>
        <w:tc>
          <w:tcPr>
            <w:tcW w:type="dxa" w:w="2016"/>
            <w:vAlign w:val="top"/>
          </w:tcPr>
          <w:p>
            <w:r>
              <w:t>Pedro / Finanzas</w:t>
            </w:r>
          </w:p>
        </w:tc>
        <w:tc>
          <w:tcPr>
            <w:tcW w:type="dxa" w:w="1440"/>
            <w:vAlign w:val="top"/>
          </w:tcPr>
          <w:p>
            <w:r>
              <w:t>Pendiente</w:t>
            </w:r>
          </w:p>
        </w:tc>
        <w:tc>
          <w:tcPr>
            <w:tcW w:type="dxa" w:w="3600"/>
            <w:vAlign w:val="top"/>
          </w:tcPr>
          <w:p>
            <w:r>
              <w:t>Pantallas o pasos actuales en BIND.</w:t>
            </w:r>
          </w:p>
        </w:tc>
      </w:tr>
    </w:tbl>
    <w:p/>
    <w:p>
      <w:pPr>
        <w:pStyle w:val="Heading1"/>
      </w:pPr>
      <w:r>
        <w:t>4. Decisiones que deben cerrarse antes de construir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4320"/>
            <w:shd w:fill="1F4E79"/>
            <w:vAlign w:val="center"/>
          </w:tcPr>
          <w:p>
            <w:r>
              <w:rPr>
                <w:color w:val="FFFFFF"/>
              </w:rPr>
              <w:t>Decisión</w:t>
            </w:r>
          </w:p>
        </w:tc>
        <w:tc>
          <w:tcPr>
            <w:tcW w:type="dxa" w:w="2304"/>
            <w:shd w:fill="1F4E79"/>
            <w:vAlign w:val="center"/>
          </w:tcPr>
          <w:p>
            <w:r>
              <w:rPr>
                <w:color w:val="FFFFFF"/>
              </w:rPr>
              <w:t>Quién aprueba</w:t>
            </w:r>
          </w:p>
        </w:tc>
        <w:tc>
          <w:tcPr>
            <w:tcW w:type="dxa" w:w="3888"/>
            <w:shd w:fill="1F4E79"/>
            <w:vAlign w:val="center"/>
          </w:tcPr>
          <w:p>
            <w:r>
              <w:rPr>
                <w:color w:val="FFFFFF"/>
              </w:rPr>
              <w:t>Recomendación</w:t>
            </w:r>
          </w:p>
        </w:tc>
      </w:tr>
      <w:tr>
        <w:tc>
          <w:tcPr>
            <w:tcW w:type="dxa" w:w="4320"/>
            <w:vAlign w:val="top"/>
          </w:tcPr>
          <w:p>
            <w:r>
              <w:t>¿El MVP solo consulta facturas o también crea/actualiza?</w:t>
            </w:r>
          </w:p>
        </w:tc>
        <w:tc>
          <w:tcPr>
            <w:tcW w:type="dxa" w:w="2304"/>
            <w:vAlign w:val="top"/>
          </w:tcPr>
          <w:p>
            <w:r>
              <w:t>Noe / Ara</w:t>
            </w:r>
          </w:p>
        </w:tc>
        <w:tc>
          <w:tcPr>
            <w:tcW w:type="dxa" w:w="3888"/>
            <w:vAlign w:val="top"/>
          </w:tcPr>
          <w:p>
            <w:r>
              <w:t>Consulta primero; escritura solo tras validar API y riesgo fiscal.</w:t>
            </w:r>
          </w:p>
        </w:tc>
      </w:tr>
      <w:tr>
        <w:tc>
          <w:tcPr>
            <w:tcW w:type="dxa" w:w="4320"/>
            <w:vAlign w:val="top"/>
          </w:tcPr>
          <w:p>
            <w:r>
              <w:t>¿Las alertas se envían a clientes o solo internas?</w:t>
            </w:r>
          </w:p>
        </w:tc>
        <w:tc>
          <w:tcPr>
            <w:tcW w:type="dxa" w:w="2304"/>
            <w:vAlign w:val="top"/>
          </w:tcPr>
          <w:p>
            <w:r>
              <w:t>Ara / Finanzas</w:t>
            </w:r>
          </w:p>
        </w:tc>
        <w:tc>
          <w:tcPr>
            <w:tcW w:type="dxa" w:w="3888"/>
            <w:vAlign w:val="top"/>
          </w:tcPr>
          <w:p>
            <w:r>
              <w:t>Iniciar con alertas internas y plantillas asistidas.</w:t>
            </w:r>
          </w:p>
        </w:tc>
      </w:tr>
      <w:tr>
        <w:tc>
          <w:tcPr>
            <w:tcW w:type="dxa" w:w="4320"/>
            <w:vAlign w:val="top"/>
          </w:tcPr>
          <w:p>
            <w:r>
              <w:t>¿Quién puede editar reglas de excepción?</w:t>
            </w:r>
          </w:p>
        </w:tc>
        <w:tc>
          <w:tcPr>
            <w:tcW w:type="dxa" w:w="2304"/>
            <w:vAlign w:val="top"/>
          </w:tcPr>
          <w:p>
            <w:r>
              <w:t>Ara / Noe</w:t>
            </w:r>
          </w:p>
        </w:tc>
        <w:tc>
          <w:tcPr>
            <w:tcW w:type="dxa" w:w="3888"/>
            <w:vAlign w:val="top"/>
          </w:tcPr>
          <w:p>
            <w:r>
              <w:t>Rol administrador financiero.</w:t>
            </w:r>
          </w:p>
        </w:tc>
      </w:tr>
      <w:tr>
        <w:tc>
          <w:tcPr>
            <w:tcW w:type="dxa" w:w="4320"/>
            <w:vAlign w:val="top"/>
          </w:tcPr>
          <w:p>
            <w:r>
              <w:t>¿Frecuencia de sincronización con BIND?</w:t>
            </w:r>
          </w:p>
        </w:tc>
        <w:tc>
          <w:tcPr>
            <w:tcW w:type="dxa" w:w="2304"/>
            <w:vAlign w:val="top"/>
          </w:tcPr>
          <w:p>
            <w:r>
              <w:t>Noe / Finanzas</w:t>
            </w:r>
          </w:p>
        </w:tc>
        <w:tc>
          <w:tcPr>
            <w:tcW w:type="dxa" w:w="3888"/>
            <w:vAlign w:val="top"/>
          </w:tcPr>
          <w:p>
            <w:r>
              <w:t>Cada 1-4 horas o diaria, según límites y necesidad.</w:t>
            </w:r>
          </w:p>
        </w:tc>
      </w:tr>
      <w:tr>
        <w:tc>
          <w:tcPr>
            <w:tcW w:type="dxa" w:w="4320"/>
            <w:vAlign w:val="top"/>
          </w:tcPr>
          <w:p>
            <w:r>
              <w:t>¿Formato de reporte directivo?</w:t>
            </w:r>
          </w:p>
        </w:tc>
        <w:tc>
          <w:tcPr>
            <w:tcW w:type="dxa" w:w="2304"/>
            <w:vAlign w:val="top"/>
          </w:tcPr>
          <w:p>
            <w:r>
              <w:t>Ara / Noe</w:t>
            </w:r>
          </w:p>
        </w:tc>
        <w:tc>
          <w:tcPr>
            <w:tcW w:type="dxa" w:w="3888"/>
            <w:vAlign w:val="top"/>
          </w:tcPr>
          <w:p>
            <w:r>
              <w:t>PDF/Excel semanal + dashboard en vivo.</w:t>
            </w:r>
          </w:p>
        </w:tc>
      </w:tr>
      <w:tr>
        <w:tc>
          <w:tcPr>
            <w:tcW w:type="dxa" w:w="4320"/>
            <w:vAlign w:val="top"/>
          </w:tcPr>
          <w:p>
            <w:r>
              <w:t>¿Se usará Azure desde MVP?</w:t>
            </w:r>
          </w:p>
        </w:tc>
        <w:tc>
          <w:tcPr>
            <w:tcW w:type="dxa" w:w="2304"/>
            <w:vAlign w:val="top"/>
          </w:tcPr>
          <w:p>
            <w:r>
              <w:t>Noe</w:t>
            </w:r>
          </w:p>
        </w:tc>
        <w:tc>
          <w:tcPr>
            <w:tcW w:type="dxa" w:w="3888"/>
            <w:vAlign w:val="top"/>
          </w:tcPr>
          <w:p>
            <w:r>
              <w:t>Sí, salvo que costo-beneficio indique alternativa.</w:t>
            </w:r>
          </w:p>
        </w:tc>
      </w:tr>
    </w:tbl>
    <w:p/>
    <w:p>
      <w:pPr>
        <w:pStyle w:val="Heading1"/>
      </w:pPr>
      <w:r>
        <w:t>5. Casos de prueba mínimos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3744"/>
            <w:shd w:fill="1F4E79"/>
            <w:vAlign w:val="center"/>
          </w:tcPr>
          <w:p>
            <w:r>
              <w:rPr>
                <w:color w:val="FFFFFF"/>
              </w:rPr>
              <w:t>Caso</w:t>
            </w:r>
          </w:p>
        </w:tc>
        <w:tc>
          <w:tcPr>
            <w:tcW w:type="dxa" w:w="6768"/>
            <w:shd w:fill="1F4E79"/>
            <w:vAlign w:val="center"/>
          </w:tcPr>
          <w:p>
            <w:r>
              <w:rPr>
                <w:color w:val="FFFFFF"/>
              </w:rPr>
              <w:t>Resultado esperado</w:t>
            </w:r>
          </w:p>
        </w:tc>
      </w:tr>
      <w:tr>
        <w:tc>
          <w:tcPr>
            <w:tcW w:type="dxa" w:w="3744"/>
            <w:vAlign w:val="top"/>
          </w:tcPr>
          <w:p>
            <w:r>
              <w:t>Factura pendiente no vencida</w:t>
            </w:r>
          </w:p>
        </w:tc>
        <w:tc>
          <w:tcPr>
            <w:tcW w:type="dxa" w:w="6768"/>
            <w:vAlign w:val="top"/>
          </w:tcPr>
          <w:p>
            <w:r>
              <w:t>Aparece como pendiente y sin alerta si no está en ventana de vencimiento.</w:t>
            </w:r>
          </w:p>
        </w:tc>
      </w:tr>
      <w:tr>
        <w:tc>
          <w:tcPr>
            <w:tcW w:type="dxa" w:w="3744"/>
            <w:vAlign w:val="top"/>
          </w:tcPr>
          <w:p>
            <w:r>
              <w:t>Factura por vencer en 5 días</w:t>
            </w:r>
          </w:p>
        </w:tc>
        <w:tc>
          <w:tcPr>
            <w:tcW w:type="dxa" w:w="6768"/>
            <w:vAlign w:val="top"/>
          </w:tcPr>
          <w:p>
            <w:r>
              <w:t>Genera alerta interna y queda en tablero de seguimiento.</w:t>
            </w:r>
          </w:p>
        </w:tc>
      </w:tr>
      <w:tr>
        <w:tc>
          <w:tcPr>
            <w:tcW w:type="dxa" w:w="3744"/>
            <w:vAlign w:val="top"/>
          </w:tcPr>
          <w:p>
            <w:r>
              <w:t>Factura vencida</w:t>
            </w:r>
          </w:p>
        </w:tc>
        <w:tc>
          <w:tcPr>
            <w:tcW w:type="dxa" w:w="6768"/>
            <w:vAlign w:val="top"/>
          </w:tcPr>
          <w:p>
            <w:r>
              <w:t>Aparece en vencidas, aging y reporte de cobranza.</w:t>
            </w:r>
          </w:p>
        </w:tc>
      </w:tr>
      <w:tr>
        <w:tc>
          <w:tcPr>
            <w:tcW w:type="dxa" w:w="3744"/>
            <w:vAlign w:val="top"/>
          </w:tcPr>
          <w:p>
            <w:r>
              <w:t>Cliente ACUNTIA o top 3</w:t>
            </w:r>
          </w:p>
        </w:tc>
        <w:tc>
          <w:tcPr>
            <w:tcW w:type="dxa" w:w="6768"/>
            <w:vAlign w:val="top"/>
          </w:tcPr>
          <w:p>
            <w:r>
              <w:t>No recibe recordatorio masivo automático; queda como gestión humana.</w:t>
            </w:r>
          </w:p>
        </w:tc>
      </w:tr>
      <w:tr>
        <w:tc>
          <w:tcPr>
            <w:tcW w:type="dxa" w:w="3744"/>
            <w:vAlign w:val="top"/>
          </w:tcPr>
          <w:p>
            <w:r>
              <w:t>Factura en USD</w:t>
            </w:r>
          </w:p>
        </w:tc>
        <w:tc>
          <w:tcPr>
            <w:tcW w:type="dxa" w:w="6768"/>
            <w:vAlign w:val="top"/>
          </w:tcPr>
          <w:p>
            <w:r>
              <w:t>Se muestra con moneda correcta y reglas de cliente extranjero.</w:t>
            </w:r>
          </w:p>
        </w:tc>
      </w:tr>
      <w:tr>
        <w:tc>
          <w:tcPr>
            <w:tcW w:type="dxa" w:w="3744"/>
            <w:vAlign w:val="top"/>
          </w:tcPr>
          <w:p>
            <w:r>
              <w:t>Dato faltante de vencimiento</w:t>
            </w:r>
          </w:p>
        </w:tc>
        <w:tc>
          <w:tcPr>
            <w:tcW w:type="dxa" w:w="6768"/>
            <w:vAlign w:val="top"/>
          </w:tcPr>
          <w:p>
            <w:r>
              <w:t>Se marca como excepción para revisión.</w:t>
            </w:r>
          </w:p>
        </w:tc>
      </w:tr>
      <w:tr>
        <w:tc>
          <w:tcPr>
            <w:tcW w:type="dxa" w:w="3744"/>
            <w:vAlign w:val="top"/>
          </w:tcPr>
          <w:p>
            <w:r>
              <w:t>Falla de API BIND</w:t>
            </w:r>
          </w:p>
        </w:tc>
        <w:tc>
          <w:tcPr>
            <w:tcW w:type="dxa" w:w="6768"/>
            <w:vAlign w:val="top"/>
          </w:tcPr>
          <w:p>
            <w:r>
              <w:t>Se registra error y no se pierde el estado anterior.</w:t>
            </w:r>
          </w:p>
        </w:tc>
      </w:tr>
    </w:tbl>
    <w:p/>
    <w:p>
      <w:pPr>
        <w:pStyle w:val="Heading1"/>
      </w:pPr>
      <w:r>
        <w:t>6. Agenda sugerida de sesión de discovery</w:t>
      </w:r>
    </w:p>
    <w:p>
      <w:pPr>
        <w:pStyle w:val="ListNumber"/>
      </w:pPr>
      <w:r>
        <w:t>Confirmar alcance Fase 1 y fuera de alcance.</w:t>
      </w:r>
    </w:p>
    <w:p>
      <w:pPr>
        <w:pStyle w:val="ListNumber"/>
      </w:pPr>
      <w:r>
        <w:t>Revisar flujo actual en BIND: cliente, cotización, factura, vencimiento, pago y reporte.</w:t>
      </w:r>
    </w:p>
    <w:p>
      <w:pPr>
        <w:pStyle w:val="ListNumber"/>
      </w:pPr>
      <w:r>
        <w:t>Validar API key, permisos y endpoints disponibles.</w:t>
      </w:r>
    </w:p>
    <w:p>
      <w:pPr>
        <w:pStyle w:val="ListNumber"/>
      </w:pPr>
      <w:r>
        <w:t>Definir estados operativos de factura/cobranza.</w:t>
      </w:r>
    </w:p>
    <w:p>
      <w:pPr>
        <w:pStyle w:val="ListNumber"/>
      </w:pPr>
      <w:r>
        <w:t>Definir dashboard y reportes mínimos.</w:t>
      </w:r>
    </w:p>
    <w:p>
      <w:pPr>
        <w:pStyle w:val="ListNumber"/>
      </w:pPr>
      <w:r>
        <w:t>Cerrar reglas de excepciones y responsables.</w:t>
      </w:r>
    </w:p>
    <w:p>
      <w:pPr>
        <w:pStyle w:val="ListNumber"/>
      </w:pPr>
      <w:r>
        <w:t>Acordar estrategia de pruebas sin sandbox.</w:t>
      </w:r>
    </w:p>
    <w:p>
      <w:pPr>
        <w:pStyle w:val="ListNumber"/>
      </w:pPr>
      <w:r>
        <w:t>Confirmar calendario de entregas y canales de comunicación.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right"/>
    </w:pPr>
    <w:r/>
    <w:r>
      <w:t xml:space="preserve">Página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t>Balam · Checklist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hAnsi="Aptos"/>
      <w:color w:val="5A5A5A"/>
      <w:sz w:val="17"/>
    </w:rPr>
  </w:style>
  <w:style w:type="paragraph" w:customStyle="1" w:styleId="Callout">
    <w:name w:val="Callout"/>
    <w:rPr>
      <w:rFonts w:ascii="Aptos" w:hAnsi="Aptos"/>
      <w:i/>
      <w:color w:val="444444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Checklist Accesos Datos Dependencias Balam</dc:title>
  <dc:subject/>
  <dc:creator>Johann Velazquez</dc:creator>
  <cp:keywords/>
  <dc:description>Documento generado como base editable para propuesta Balam.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